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-878204</wp:posOffset>
            </wp:positionV>
            <wp:extent cx="7762594" cy="10045711"/>
            <wp:effectExtent b="0" l="0" r="0" t="0"/>
            <wp:wrapNone/>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762594" cy="10045711"/>
                    </a:xfrm>
                    <a:prstGeom prst="rect"/>
                    <a:ln/>
                  </pic:spPr>
                </pic:pic>
              </a:graphicData>
            </a:graphic>
          </wp:anchor>
        </w:drawing>
      </w:r>
    </w:p>
    <w:p w:rsidR="00000000" w:rsidDel="00000000" w:rsidP="00000000" w:rsidRDefault="00000000" w:rsidRPr="00000000" w14:paraId="00000002">
      <w:pPr>
        <w:rPr>
          <w:rFonts w:ascii="Verdana" w:cs="Verdana" w:eastAsia="Verdana" w:hAnsi="Verdana"/>
          <w:color w:val="4e4d4d"/>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
                <a:graphic>
                  <a:graphicData uri="http://schemas.microsoft.com/office/word/2010/wordprocessingShape">
                    <wps:wsp>
                      <wps:cNvSpPr/>
                      <wps:cNvPr id="3" name="Shape 3"/>
                      <wps:spPr>
                        <a:xfrm>
                          <a:off x="2359913" y="3077690"/>
                          <a:ext cx="5972175" cy="140462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504f4e"/>
                                <w:sz w:val="48"/>
                                <w:vertAlign w:val="baseline"/>
                              </w:rPr>
                              <w:t xml:space="preserve">Plan de Seguridad y Privacidad de la Información 2024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981700" cy="1414145"/>
                        </a:xfrm>
                        <a:prstGeom prst="rect"/>
                        <a:ln/>
                      </pic:spPr>
                    </pic:pic>
                  </a:graphicData>
                </a:graphic>
              </wp:anchor>
            </w:drawing>
          </mc:Fallback>
        </mc:AlternateContent>
      </w:r>
    </w:p>
    <w:p w:rsidR="00000000" w:rsidDel="00000000" w:rsidP="00000000" w:rsidRDefault="00000000" w:rsidRPr="00000000" w14:paraId="00000003">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-899794</wp:posOffset>
            </wp:positionV>
            <wp:extent cx="7772400" cy="10041991"/>
            <wp:effectExtent b="0" l="0" r="0" t="0"/>
            <wp:wrapNone/>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7772400" cy="10041991"/>
                    </a:xfrm>
                    <a:prstGeom prst="rect"/>
                    <a:ln/>
                  </pic:spPr>
                </pic:pic>
              </a:graphicData>
            </a:graphic>
          </wp:anchor>
        </w:drawing>
      </w:r>
    </w:p>
    <w:p w:rsidR="00000000" w:rsidDel="00000000" w:rsidP="00000000" w:rsidRDefault="00000000" w:rsidRPr="00000000" w14:paraId="00000004">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
                <a:graphic>
                  <a:graphicData uri="http://schemas.microsoft.com/office/word/2010/wordprocessingShape">
                    <wps:wsp>
                      <wps:cNvSpPr/>
                      <wps:cNvPr id="2" name="Shape 2"/>
                      <wps:spPr>
                        <a:xfrm>
                          <a:off x="2359913" y="0"/>
                          <a:ext cx="5972175" cy="756000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t xml:space="preserve">INSTITUTO NACIONAL PARA SORDOS – INSOR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Geovani Andrés Meléndres Guerrero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Director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Néstor Julián Rosas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Secretario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Helena Patricia Hernández Aguirre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Promoción y Desarrollo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Luz Mary López Franco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Gestión Educativa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Diego Armando López Cely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Asesor de Dirección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Carolina Ramos Castellanos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de Planeación y Sistemas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Luis Hernán Cuellar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Jurídica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Cilia Guio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con funciones de Control Interno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Documento elaborado por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Oficina Asesora de Planeación y Sistemas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Bogotá D.C, Diciembre de 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81700" cy="8252460"/>
                        </a:xfrm>
                        <a:prstGeom prst="rect"/>
                        <a:ln/>
                      </pic:spPr>
                    </pic:pic>
                  </a:graphicData>
                </a:graphic>
              </wp:anchor>
            </w:drawing>
          </mc:Fallback>
        </mc:AlternateContent>
      </w:r>
    </w:p>
    <w:bookmarkStart w:colFirst="0" w:colLast="0" w:name="bookmark=id.3dy6vkm" w:id="1"/>
    <w:bookmarkEnd w:id="1"/>
    <w:bookmarkStart w:colFirst="0" w:colLast="0" w:name="bookmark=id.3vac5uf" w:id="2"/>
    <w:bookmarkEnd w:id="2"/>
    <w:bookmarkStart w:colFirst="0" w:colLast="0" w:name="bookmark=id.147n2zr" w:id="3"/>
    <w:bookmarkEnd w:id="3"/>
    <w:bookmarkStart w:colFirst="0" w:colLast="0" w:name="bookmark=id.2zbgiuw" w:id="4"/>
    <w:bookmarkEnd w:id="4"/>
    <w:bookmarkStart w:colFirst="0" w:colLast="0" w:name="bookmark=id.2p2csry" w:id="5"/>
    <w:bookmarkEnd w:id="5"/>
    <w:bookmarkStart w:colFirst="0" w:colLast="0" w:name="bookmark=id.32hioqz" w:id="6"/>
    <w:bookmarkEnd w:id="6"/>
    <w:bookmarkStart w:colFirst="0" w:colLast="0" w:name="bookmark=id.3l18frh" w:id="7"/>
    <w:bookmarkEnd w:id="7"/>
    <w:bookmarkStart w:colFirst="0" w:colLast="0" w:name="bookmark=id.4i7ojhp" w:id="8"/>
    <w:bookmarkEnd w:id="8"/>
    <w:bookmarkStart w:colFirst="0" w:colLast="0" w:name="bookmark=id.2s8eyo1" w:id="9"/>
    <w:bookmarkEnd w:id="9"/>
    <w:bookmarkStart w:colFirst="0" w:colLast="0" w:name="bookmark=id.2jxsxqh" w:id="10"/>
    <w:bookmarkEnd w:id="10"/>
    <w:bookmarkStart w:colFirst="0" w:colLast="0" w:name="bookmark=id.1v1yuxt" w:id="11"/>
    <w:bookmarkEnd w:id="11"/>
    <w:bookmarkStart w:colFirst="0" w:colLast="0" w:name="bookmark=id.2lwamvv" w:id="12"/>
    <w:bookmarkEnd w:id="12"/>
    <w:bookmarkStart w:colFirst="0" w:colLast="0" w:name="bookmark=id.qsh70q" w:id="13"/>
    <w:bookmarkEnd w:id="13"/>
    <w:bookmarkStart w:colFirst="0" w:colLast="0" w:name="bookmark=id.3znysh7" w:id="14"/>
    <w:bookmarkEnd w:id="14"/>
    <w:bookmarkStart w:colFirst="0" w:colLast="0" w:name="bookmark=id.3q5sasy" w:id="15"/>
    <w:bookmarkEnd w:id="15"/>
    <w:bookmarkStart w:colFirst="0" w:colLast="0" w:name="bookmark=id.2dlolyb" w:id="16"/>
    <w:bookmarkEnd w:id="16"/>
    <w:bookmarkStart w:colFirst="0" w:colLast="0" w:name="bookmark=id.41mghml" w:id="17"/>
    <w:bookmarkEnd w:id="17"/>
    <w:bookmarkStart w:colFirst="0" w:colLast="0" w:name="bookmark=id.3ygebqi" w:id="18"/>
    <w:bookmarkEnd w:id="18"/>
    <w:bookmarkStart w:colFirst="0" w:colLast="0" w:name="bookmark=id.26in1rg" w:id="19"/>
    <w:bookmarkEnd w:id="19"/>
    <w:bookmarkStart w:colFirst="0" w:colLast="0" w:name="bookmark=id.37m2jsg" w:id="20"/>
    <w:bookmarkEnd w:id="20"/>
    <w:bookmarkStart w:colFirst="0" w:colLast="0" w:name="bookmark=id.3cqmetx" w:id="21"/>
    <w:bookmarkEnd w:id="21"/>
    <w:bookmarkStart w:colFirst="0" w:colLast="0" w:name="bookmark=id.3rdcrjn" w:id="22"/>
    <w:bookmarkEnd w:id="22"/>
    <w:bookmarkStart w:colFirst="0" w:colLast="0" w:name="bookmark=id.kgcv8k" w:id="23"/>
    <w:bookmarkEnd w:id="23"/>
    <w:bookmarkStart w:colFirst="0" w:colLast="0" w:name="bookmark=id.1ksv4uv" w:id="24"/>
    <w:bookmarkEnd w:id="24"/>
    <w:bookmarkStart w:colFirst="0" w:colLast="0" w:name="bookmark=id.2xcytpi" w:id="25"/>
    <w:bookmarkEnd w:id="25"/>
    <w:bookmarkStart w:colFirst="0" w:colLast="0" w:name="bookmark=id.206ipza" w:id="26"/>
    <w:bookmarkEnd w:id="26"/>
    <w:bookmarkStart w:colFirst="0" w:colLast="0" w:name="bookmark=id.3j2qqm3" w:id="27"/>
    <w:bookmarkEnd w:id="27"/>
    <w:bookmarkStart w:colFirst="0" w:colLast="0" w:name="bookmark=id.1pxezwc" w:id="28"/>
    <w:bookmarkEnd w:id="28"/>
    <w:bookmarkStart w:colFirst="0" w:colLast="0" w:name="bookmark=id.49x2ik5" w:id="29"/>
    <w:bookmarkEnd w:id="29"/>
    <w:bookmarkStart w:colFirst="0" w:colLast="0" w:name="bookmark=id.1hmsyys" w:id="30"/>
    <w:bookmarkEnd w:id="30"/>
    <w:bookmarkStart w:colFirst="0" w:colLast="0" w:name="bookmark=id.2r0uhxc" w:id="31"/>
    <w:bookmarkEnd w:id="31"/>
    <w:bookmarkStart w:colFirst="0" w:colLast="0" w:name="bookmark=id.ihv636" w:id="32"/>
    <w:bookmarkEnd w:id="32"/>
    <w:bookmarkStart w:colFirst="0" w:colLast="0" w:name="bookmark=id.2et92p0" w:id="33"/>
    <w:bookmarkEnd w:id="33"/>
    <w:bookmarkStart w:colFirst="0" w:colLast="0" w:name="bookmark=id.35nkun2" w:id="34"/>
    <w:bookmarkEnd w:id="34"/>
    <w:bookmarkStart w:colFirst="0" w:colLast="0" w:name="bookmark=id.1ci93xb" w:id="35"/>
    <w:bookmarkEnd w:id="35"/>
    <w:bookmarkStart w:colFirst="0" w:colLast="0" w:name="bookmark=id.2grqrue" w:id="36"/>
    <w:bookmarkEnd w:id="36"/>
    <w:bookmarkStart w:colFirst="0" w:colLast="0" w:name="bookmark=id.tyjcwt" w:id="37"/>
    <w:bookmarkEnd w:id="37"/>
    <w:bookmarkStart w:colFirst="0" w:colLast="0" w:name="bookmark=id.1egqt2p" w:id="38"/>
    <w:bookmarkEnd w:id="38"/>
    <w:bookmarkStart w:colFirst="0" w:colLast="0" w:name="bookmark=id.23ckvvd" w:id="39"/>
    <w:bookmarkEnd w:id="39"/>
    <w:bookmarkStart w:colFirst="0" w:colLast="0" w:name="bookmark=id.3o7alnk" w:id="40"/>
    <w:bookmarkEnd w:id="40"/>
    <w:bookmarkStart w:colFirst="0" w:colLast="0" w:name="bookmark=id.nmf14n" w:id="41"/>
    <w:bookmarkEnd w:id="41"/>
    <w:bookmarkStart w:colFirst="0" w:colLast="0" w:name="bookmark=id.3whwml4" w:id="42"/>
    <w:bookmarkEnd w:id="42"/>
    <w:bookmarkStart w:colFirst="0" w:colLast="0" w:name="bookmark=id.28h4qwu" w:id="43"/>
    <w:bookmarkEnd w:id="43"/>
    <w:bookmarkStart w:colFirst="0" w:colLast="0" w:name="bookmark=id.17dp8vu" w:id="44"/>
    <w:bookmarkEnd w:id="44"/>
    <w:bookmarkStart w:colFirst="0" w:colLast="0" w:name="bookmark=id.2w5ecyt" w:id="45"/>
    <w:bookmarkEnd w:id="45"/>
    <w:bookmarkStart w:colFirst="0" w:colLast="0" w:name="bookmark=id.3as4poj" w:id="46"/>
    <w:bookmarkEnd w:id="46"/>
    <w:bookmarkStart w:colFirst="0" w:colLast="0" w:name="bookmark=id.4f1mdlm" w:id="47"/>
    <w:bookmarkEnd w:id="47"/>
    <w:bookmarkStart w:colFirst="0" w:colLast="0" w:name="bookmark=id.3fwokq0" w:id="48"/>
    <w:bookmarkEnd w:id="48"/>
    <w:bookmarkStart w:colFirst="0" w:colLast="0" w:name="bookmark=id.39kk8xu" w:id="49"/>
    <w:bookmarkEnd w:id="49"/>
    <w:bookmarkStart w:colFirst="0" w:colLast="0" w:name="bookmark=id.1y810tw" w:id="50"/>
    <w:bookmarkEnd w:id="50"/>
    <w:bookmarkStart w:colFirst="0" w:colLast="0" w:name="bookmark=id.pkwqa1" w:id="51"/>
    <w:bookmarkEnd w:id="51"/>
    <w:bookmarkStart w:colFirst="0" w:colLast="0" w:name="bookmark=id.1baon6m" w:id="52"/>
    <w:bookmarkEnd w:id="52"/>
    <w:bookmarkStart w:colFirst="0" w:colLast="0" w:name="bookmark=id.4bvk7pj" w:id="53"/>
    <w:bookmarkEnd w:id="53"/>
    <w:bookmarkStart w:colFirst="0" w:colLast="0" w:name="bookmark=id.3tbugp1" w:id="54"/>
    <w:bookmarkEnd w:id="54"/>
    <w:bookmarkStart w:colFirst="0" w:colLast="0" w:name="bookmark=id.25b2l0r" w:id="55"/>
    <w:bookmarkEnd w:id="55"/>
    <w:bookmarkStart w:colFirst="0" w:colLast="0" w:name="bookmark=id.3hv69ve" w:id="56"/>
    <w:bookmarkEnd w:id="56"/>
    <w:bookmarkStart w:colFirst="0" w:colLast="0" w:name="bookmark=id.19c6y18" w:id="57"/>
    <w:bookmarkEnd w:id="57"/>
    <w:bookmarkStart w:colFirst="0" w:colLast="0" w:name="bookmark=id.1x0gk37" w:id="58"/>
    <w:bookmarkEnd w:id="58"/>
    <w:bookmarkStart w:colFirst="0" w:colLast="0" w:name="bookmark=id.111kx3o" w:id="59"/>
    <w:bookmarkEnd w:id="59"/>
    <w:bookmarkStart w:colFirst="0" w:colLast="0" w:name="bookmark=id.z337ya" w:id="60"/>
    <w:bookmarkEnd w:id="60"/>
    <w:bookmarkStart w:colFirst="0" w:colLast="0" w:name="bookmark=id.1664s55" w:id="61"/>
    <w:bookmarkEnd w:id="61"/>
    <w:bookmarkStart w:colFirst="0" w:colLast="0" w:name="bookmark=id.2iq8gzs" w:id="62"/>
    <w:bookmarkEnd w:id="62"/>
    <w:bookmarkStart w:colFirst="0" w:colLast="0" w:name="bookmark=id.vx1227" w:id="63"/>
    <w:bookmarkEnd w:id="63"/>
    <w:bookmarkStart w:colFirst="0" w:colLast="0" w:name="bookmark=id.1mrcu09" w:id="64"/>
    <w:bookmarkEnd w:id="64"/>
    <w:bookmarkStart w:colFirst="0" w:colLast="0" w:name="bookmark=id.2u6wntf" w:id="65"/>
    <w:bookmarkEnd w:id="65"/>
    <w:bookmarkStart w:colFirst="0" w:colLast="0" w:name="bookmark=id.43ky6rz" w:id="66"/>
    <w:bookmarkEnd w:id="66"/>
    <w:bookmarkStart w:colFirst="0" w:colLast="0" w:name="bookmark=id.lnxbz9" w:id="67"/>
    <w:bookmarkEnd w:id="67"/>
    <w:bookmarkStart w:colFirst="0" w:colLast="0" w:name="bookmark=id.46r0co2" w:id="68"/>
    <w:bookmarkEnd w:id="68"/>
    <w:bookmarkStart w:colFirst="0" w:colLast="0" w:name="bookmark=id.4h042r0" w:id="69"/>
    <w:bookmarkEnd w:id="69"/>
    <w:bookmarkStart w:colFirst="0" w:colLast="0" w:name="bookmark=id.1t3h5sf" w:id="70"/>
    <w:bookmarkEnd w:id="70"/>
    <w:bookmarkStart w:colFirst="0" w:colLast="0" w:name="bookmark=id.4k668n3" w:id="71"/>
    <w:bookmarkEnd w:id="71"/>
    <w:bookmarkStart w:colFirst="0" w:colLast="0" w:name="bookmark=id.1jlao46" w:id="72"/>
    <w:bookmarkEnd w:id="72"/>
    <w:bookmarkStart w:colFirst="0" w:colLast="0" w:name="bookmark=id.xvir7l" w:id="73"/>
    <w:bookmarkEnd w:id="73"/>
    <w:bookmarkStart w:colFirst="0" w:colLast="0" w:name="bookmark=id.34g0dwd" w:id="74"/>
    <w:bookmarkEnd w:id="74"/>
    <w:bookmarkStart w:colFirst="0" w:colLast="0" w:name="bookmark=id.sqyw64" w:id="75"/>
    <w:bookmarkEnd w:id="75"/>
    <w:bookmarkStart w:colFirst="0" w:colLast="0" w:name="bookmark=id.1rvwp1q" w:id="76"/>
    <w:bookmarkEnd w:id="76"/>
    <w:bookmarkStart w:colFirst="0" w:colLast="0" w:name="bookmark=id.2afmg28" w:id="77"/>
    <w:bookmarkEnd w:id="77"/>
    <w:bookmarkStart w:colFirst="0" w:colLast="0" w:name="bookmark=id.2bn6wsx" w:id="78"/>
    <w:bookmarkEnd w:id="78"/>
    <w:bookmarkStart w:colFirst="0" w:colLast="0" w:name="bookmark=id.44sinio" w:id="79"/>
    <w:bookmarkEnd w:id="79"/>
    <w:bookmarkStart w:colFirst="0" w:colLast="0" w:name="bookmark=id.4d34og8" w:id="80"/>
    <w:bookmarkEnd w:id="80"/>
    <w:p w:rsidR="00000000" w:rsidDel="00000000" w:rsidP="00000000" w:rsidRDefault="00000000" w:rsidRPr="00000000" w14:paraId="00000006">
      <w:pPr>
        <w:rPr>
          <w:rFonts w:ascii="Verdana" w:cs="Verdana" w:eastAsia="Verdana" w:hAnsi="Verdana"/>
        </w:rPr>
      </w:pPr>
      <w:bookmarkStart w:colFirst="0" w:colLast="0" w:name="_heading=h.1fob9te" w:id="81"/>
      <w:bookmarkEnd w:id="81"/>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2e75b5"/>
          <w:sz w:val="22"/>
          <w:szCs w:val="22"/>
          <w:u w:val="none"/>
          <w:shd w:fill="auto" w:val="clear"/>
          <w:vertAlign w:val="baseline"/>
        </w:rPr>
      </w:pPr>
      <w:r w:rsidDel="00000000" w:rsidR="00000000" w:rsidRPr="00000000">
        <w:rPr>
          <w:rFonts w:ascii="Verdana" w:cs="Verdana" w:eastAsia="Verdana" w:hAnsi="Verdana"/>
          <w:b w:val="0"/>
          <w:i w:val="0"/>
          <w:smallCaps w:val="0"/>
          <w:strike w:val="0"/>
          <w:color w:val="2e75b5"/>
          <w:sz w:val="22"/>
          <w:szCs w:val="2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opuj5n">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w:t>
            </w:r>
          </w:hyperlink>
          <w:hyperlink w:anchor="_heading=h.1opuj5n">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OBJETIVO.</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48pi1tg">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w:t>
            </w:r>
          </w:hyperlink>
          <w:hyperlink w:anchor="_heading=h.48pi1tg">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ALCANCE.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1302m92">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3.</w:t>
            </w:r>
          </w:hyperlink>
          <w:hyperlink w:anchor="_heading=h.1302m92">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INTRODUCCION.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3mzq4wv">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4.</w:t>
            </w:r>
          </w:hyperlink>
          <w:hyperlink w:anchor="_heading=h.3mzq4wv">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DEFINICIONES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319y80a">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5.</w:t>
            </w:r>
          </w:hyperlink>
          <w:hyperlink w:anchor="_heading=h.319y80a">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METODOLOGIA DE IMPLEMENTACIÓN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2fk6b3p">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5.1 CUMPIMIENTO DE LA IMPLEMENTACIÓN</w:t>
              <w:tab/>
              <w:t xml:space="preserve">8</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upglbi">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5.2 NIVEL DE MADUREZ DE SGSI</w:t>
              <w:tab/>
              <w:t xml:space="preserve">8</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hyperlink w:anchor="_heading=h.3ep43zb">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6.</w:t>
            </w:r>
          </w:hyperlink>
          <w:hyperlink w:anchor="_heading=h.3ep43zb">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PLAN DE ACTIVIDADES DEL SGSI</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rPr>
              <w:rFonts w:ascii="Verdana" w:cs="Verdana" w:eastAsia="Verdana" w:hAnsi="Verda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rPr>
          <w:rFonts w:ascii="Verdana" w:cs="Verdana" w:eastAsia="Verdana" w:hAnsi="Verdana"/>
        </w:rPr>
      </w:pP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tl w:val="0"/>
        </w:rPr>
      </w:r>
    </w:p>
    <w:p w:rsidR="00000000" w:rsidDel="00000000" w:rsidP="00000000" w:rsidRDefault="00000000" w:rsidRPr="00000000" w14:paraId="0000001B">
      <w:pPr>
        <w:rPr>
          <w:rFonts w:ascii="Verdana" w:cs="Verdana" w:eastAsia="Verdana" w:hAnsi="Verdana"/>
        </w:rPr>
      </w:pPr>
      <w:r w:rsidDel="00000000" w:rsidR="00000000" w:rsidRPr="00000000">
        <w:rPr>
          <w:rtl w:val="0"/>
        </w:rPr>
      </w:r>
    </w:p>
    <w:p w:rsidR="00000000" w:rsidDel="00000000" w:rsidP="00000000" w:rsidRDefault="00000000" w:rsidRPr="00000000" w14:paraId="0000001C">
      <w:pPr>
        <w:rPr>
          <w:rFonts w:ascii="Verdana" w:cs="Verdana" w:eastAsia="Verdana" w:hAnsi="Verdana"/>
        </w:rPr>
      </w:pPr>
      <w:r w:rsidDel="00000000" w:rsidR="00000000" w:rsidRPr="00000000">
        <w:rPr>
          <w:rtl w:val="0"/>
        </w:rPr>
      </w:r>
    </w:p>
    <w:p w:rsidR="00000000" w:rsidDel="00000000" w:rsidP="00000000" w:rsidRDefault="00000000" w:rsidRPr="00000000" w14:paraId="0000001D">
      <w:pPr>
        <w:rPr>
          <w:rFonts w:ascii="Verdana" w:cs="Verdana" w:eastAsia="Verdana" w:hAnsi="Verdana"/>
        </w:rPr>
      </w:pPr>
      <w:r w:rsidDel="00000000" w:rsidR="00000000" w:rsidRPr="00000000">
        <w:rPr>
          <w:rtl w:val="0"/>
        </w:rPr>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tl w:val="0"/>
        </w:rPr>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rPr>
          <w:rFonts w:ascii="Verdana" w:cs="Verdana" w:eastAsia="Verdana" w:hAnsi="Verdana"/>
        </w:rPr>
      </w:pPr>
      <w:r w:rsidDel="00000000" w:rsidR="00000000" w:rsidRPr="00000000">
        <w:rPr>
          <w:rtl w:val="0"/>
        </w:rPr>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1opuj5n" w:id="82"/>
      <w:bookmarkEnd w:id="82"/>
      <w:r w:rsidDel="00000000" w:rsidR="00000000" w:rsidRPr="00000000">
        <w:rPr>
          <w:rFonts w:ascii="Verdana" w:cs="Verdana" w:eastAsia="Verdana" w:hAnsi="Verdana"/>
          <w:b w:val="1"/>
          <w:color w:val="000000"/>
          <w:sz w:val="22"/>
          <w:szCs w:val="22"/>
          <w:rtl w:val="0"/>
        </w:rPr>
        <w:t xml:space="preserve">OBJETIVO</w:t>
      </w:r>
    </w:p>
    <w:p w:rsidR="00000000" w:rsidDel="00000000" w:rsidP="00000000" w:rsidRDefault="00000000" w:rsidRPr="00000000" w14:paraId="00000026">
      <w:pPr>
        <w:widowControl w:val="0"/>
        <w:spacing w:line="232" w:lineRule="auto"/>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Preservar la confidencialidad, integridad y disponibilidad de la información del Instituto Nacional para Sordos-INSOR.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20" w:right="10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Identificar los riesgos de seguridad y privacidad de la información de cada proceso del INSOR que puedan afectar la confidencialidad, integridad y disponibilidad de la información.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20" w:right="10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Realizar cumplimiento a la estrategia de gobierno digital y a lo dispuesto en la norma ISO 27001:2022.</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20" w:right="10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 w:lineRule="auto"/>
        <w:ind w:left="720" w:right="10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Realizar campañas de sensibilización de acuerdo al plan de sensibilización en seguridad y privacidad de la información para el INSOR.</w:t>
      </w:r>
    </w:p>
    <w:p w:rsidR="00000000" w:rsidDel="00000000" w:rsidP="00000000" w:rsidRDefault="00000000" w:rsidRPr="00000000" w14:paraId="0000002E">
      <w:pPr>
        <w:widowControl w:val="0"/>
        <w:spacing w:line="232" w:lineRule="auto"/>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48pi1tg" w:id="83"/>
      <w:bookmarkEnd w:id="83"/>
      <w:r w:rsidDel="00000000" w:rsidR="00000000" w:rsidRPr="00000000">
        <w:rPr>
          <w:rFonts w:ascii="Verdana" w:cs="Verdana" w:eastAsia="Verdana" w:hAnsi="Verdana"/>
          <w:b w:val="1"/>
          <w:color w:val="000000"/>
          <w:sz w:val="22"/>
          <w:szCs w:val="22"/>
          <w:rtl w:val="0"/>
        </w:rPr>
        <w:t xml:space="preserve">ALCANCE</w:t>
      </w:r>
    </w:p>
    <w:p w:rsidR="00000000" w:rsidDel="00000000" w:rsidP="00000000" w:rsidRDefault="00000000" w:rsidRPr="00000000" w14:paraId="00000030">
      <w:pPr>
        <w:widowControl w:val="0"/>
        <w:spacing w:line="200" w:lineRule="auto"/>
        <w:rPr>
          <w:rFonts w:ascii="Verdana" w:cs="Verdana" w:eastAsia="Verdana" w:hAnsi="Verdana"/>
        </w:rPr>
      </w:pPr>
      <w:r w:rsidDel="00000000" w:rsidR="00000000" w:rsidRPr="00000000">
        <w:rPr>
          <w:rtl w:val="0"/>
        </w:rPr>
      </w:r>
    </w:p>
    <w:bookmarkStart w:colFirst="0" w:colLast="0" w:name="bookmark=id.2nusc19" w:id="84"/>
    <w:bookmarkEnd w:id="84"/>
    <w:p w:rsidR="00000000" w:rsidDel="00000000" w:rsidP="00000000" w:rsidRDefault="00000000" w:rsidRPr="00000000" w14:paraId="00000031">
      <w:pPr>
        <w:widowControl w:val="0"/>
        <w:spacing w:line="233" w:lineRule="auto"/>
        <w:jc w:val="both"/>
        <w:rPr>
          <w:rFonts w:ascii="Verdana" w:cs="Verdana" w:eastAsia="Verdana" w:hAnsi="Verdana"/>
        </w:rPr>
      </w:pPr>
      <w:r w:rsidDel="00000000" w:rsidR="00000000" w:rsidRPr="00000000">
        <w:rPr>
          <w:rFonts w:ascii="Verdana" w:cs="Verdana" w:eastAsia="Verdana" w:hAnsi="Verdana"/>
          <w:rtl w:val="0"/>
        </w:rPr>
        <w:t xml:space="preserve">El plan de seguridad y privacidad de la información aplica a todos los procesos del Instituto Nacional para Sordos-INSOR, donde se desarrolle recolección, procesamiento, almacenamiento, recuperación, intercambio y consulta de información, al cumplimiento de la misión y objetivos estratégicos de la entidad.</w:t>
      </w:r>
    </w:p>
    <w:p w:rsidR="00000000" w:rsidDel="00000000" w:rsidP="00000000" w:rsidRDefault="00000000" w:rsidRPr="00000000" w14:paraId="00000032">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1302m92" w:id="85"/>
      <w:bookmarkEnd w:id="85"/>
      <w:r w:rsidDel="00000000" w:rsidR="00000000" w:rsidRPr="00000000">
        <w:rPr>
          <w:rFonts w:ascii="Verdana" w:cs="Verdana" w:eastAsia="Verdana" w:hAnsi="Verdana"/>
          <w:b w:val="1"/>
          <w:color w:val="000000"/>
          <w:sz w:val="22"/>
          <w:szCs w:val="22"/>
          <w:rtl w:val="0"/>
        </w:rPr>
        <w:t xml:space="preserve">INTRODUCCION</w:t>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widowControl w:val="0"/>
        <w:spacing w:line="232" w:lineRule="auto"/>
        <w:ind w:right="100"/>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Sordos-INSOR presenta a la ciudadanía y a los grupos de interés el plan de seguridad y privacidad de la información para la vigencia 2024,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ISO 27001:2022 y lo establecido en el Decreto 767 de 2022, donde se establece para las entidades del estado los habilitadores transversales: Seguridad de la información, Arquitectura de TI y Servicios Ciudadanos Digitales. Adicional se tiene en cuenta el CONPES 3995 de 2020 donde se establece la política nacional de confianza y seguridad digital y la Resolución 500 de 2021, "por la cual se establecen los lineamientos y estándares para la estrategia de seguridad digital y se adopta el modelo de seguridad y privacidad como habilitador de la Política de Gobierno Digital".</w:t>
      </w:r>
    </w:p>
    <w:p w:rsidR="00000000" w:rsidDel="00000000" w:rsidP="00000000" w:rsidRDefault="00000000" w:rsidRPr="00000000" w14:paraId="00000035">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3mzq4wv" w:id="86"/>
      <w:bookmarkEnd w:id="86"/>
      <w:r w:rsidDel="00000000" w:rsidR="00000000" w:rsidRPr="00000000">
        <w:rPr>
          <w:rFonts w:ascii="Verdana" w:cs="Verdana" w:eastAsia="Verdana" w:hAnsi="Verdana"/>
          <w:b w:val="1"/>
          <w:color w:val="000000"/>
          <w:sz w:val="22"/>
          <w:szCs w:val="22"/>
          <w:rtl w:val="0"/>
        </w:rPr>
        <w:t xml:space="preserve">DEFINICIONES</w:t>
      </w:r>
    </w:p>
    <w:p w:rsidR="00000000" w:rsidDel="00000000" w:rsidP="00000000" w:rsidRDefault="00000000" w:rsidRPr="00000000" w14:paraId="00000036">
      <w:pPr>
        <w:widowControl w:val="0"/>
        <w:ind w:right="10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Administración del riesgo</w:t>
      </w:r>
      <w:r w:rsidDel="00000000" w:rsidR="00000000" w:rsidRPr="00000000">
        <w:rPr>
          <w:rFonts w:ascii="Verdana" w:cs="Verdana" w:eastAsia="Verdana" w:hAnsi="Verdana"/>
          <w:rtl w:val="0"/>
        </w:rPr>
        <w:t xml:space="preserve">: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rsidR="00000000" w:rsidDel="00000000" w:rsidP="00000000" w:rsidRDefault="00000000" w:rsidRPr="00000000" w14:paraId="00000038">
      <w:pPr>
        <w:widowControl w:val="0"/>
        <w:ind w:right="120"/>
        <w:jc w:val="both"/>
        <w:rPr>
          <w:rFonts w:ascii="Verdana" w:cs="Verdana" w:eastAsia="Verdana" w:hAnsi="Verdana"/>
        </w:rPr>
      </w:pPr>
      <w:r w:rsidDel="00000000" w:rsidR="00000000" w:rsidRPr="00000000">
        <w:rPr>
          <w:rFonts w:ascii="Verdana" w:cs="Verdana" w:eastAsia="Verdana" w:hAnsi="Verdana"/>
          <w:b w:val="1"/>
          <w:rtl w:val="0"/>
        </w:rPr>
        <w:t xml:space="preserve">Autenticación:</w:t>
      </w:r>
      <w:r w:rsidDel="00000000" w:rsidR="00000000" w:rsidRPr="00000000">
        <w:rPr>
          <w:rFonts w:ascii="Verdana" w:cs="Verdana" w:eastAsia="Verdana" w:hAnsi="Verdana"/>
          <w:rtl w:val="0"/>
        </w:rPr>
        <w:t xml:space="preserve"> Provisión de credenciales (usuario y contraseña) para poder acceder a recursos protegidos en equipos de cómputo. </w:t>
      </w:r>
    </w:p>
    <w:p w:rsidR="00000000" w:rsidDel="00000000" w:rsidP="00000000" w:rsidRDefault="00000000" w:rsidRPr="00000000" w14:paraId="00000039">
      <w:pPr>
        <w:jc w:val="both"/>
        <w:rPr>
          <w:rFonts w:ascii="Verdana" w:cs="Verdana" w:eastAsia="Verdana" w:hAnsi="Verdana"/>
        </w:rPr>
      </w:pPr>
      <w:r w:rsidDel="00000000" w:rsidR="00000000" w:rsidRPr="00000000">
        <w:rPr>
          <w:rFonts w:ascii="Verdana" w:cs="Verdana" w:eastAsia="Verdana" w:hAnsi="Verdana"/>
          <w:b w:val="1"/>
          <w:rtl w:val="0"/>
        </w:rPr>
        <w:t xml:space="preserve">Autenticidad: </w:t>
      </w:r>
      <w:r w:rsidDel="00000000" w:rsidR="00000000" w:rsidRPr="00000000">
        <w:rPr>
          <w:rFonts w:ascii="Verdana" w:cs="Verdana" w:eastAsia="Verdana" w:hAnsi="Verdana"/>
          <w:rtl w:val="0"/>
        </w:rPr>
        <w:t xml:space="preserve">busca asegurar la validez de la información en tiempo, forma y distribución. Así mismo, se garantiza el origen de la información, validando el emisor para evitar suplantación de identidades.</w:t>
      </w:r>
    </w:p>
    <w:p w:rsidR="00000000" w:rsidDel="00000000" w:rsidP="00000000" w:rsidRDefault="00000000" w:rsidRPr="00000000" w14:paraId="0000003A">
      <w:pPr>
        <w:jc w:val="both"/>
        <w:rPr>
          <w:rFonts w:ascii="Verdana" w:cs="Verdana" w:eastAsia="Verdana" w:hAnsi="Verdana"/>
        </w:rPr>
      </w:pPr>
      <w:r w:rsidDel="00000000" w:rsidR="00000000" w:rsidRPr="00000000">
        <w:rPr>
          <w:rFonts w:ascii="Verdana" w:cs="Verdana" w:eastAsia="Verdana" w:hAnsi="Verdana"/>
          <w:b w:val="1"/>
          <w:rtl w:val="0"/>
        </w:rPr>
        <w:t xml:space="preserve">Auditabilidad: </w:t>
      </w:r>
      <w:r w:rsidDel="00000000" w:rsidR="00000000" w:rsidRPr="00000000">
        <w:rPr>
          <w:rFonts w:ascii="Verdana" w:cs="Verdana" w:eastAsia="Verdana" w:hAnsi="Verdana"/>
          <w:rtl w:val="0"/>
        </w:rPr>
        <w:t xml:space="preserve">define que todos los eventos de un sistema deben poder ser</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registrados para su control posterior. </w:t>
      </w:r>
    </w:p>
    <w:p w:rsidR="00000000" w:rsidDel="00000000" w:rsidP="00000000" w:rsidRDefault="00000000" w:rsidRPr="00000000" w14:paraId="0000003B">
      <w:pPr>
        <w:jc w:val="both"/>
        <w:rPr>
          <w:rFonts w:ascii="Verdana" w:cs="Verdana" w:eastAsia="Verdana" w:hAnsi="Verdana"/>
        </w:rPr>
      </w:pPr>
      <w:r w:rsidDel="00000000" w:rsidR="00000000" w:rsidRPr="00000000">
        <w:rPr>
          <w:rFonts w:ascii="Verdana" w:cs="Verdana" w:eastAsia="Verdana" w:hAnsi="Verdana"/>
          <w:b w:val="1"/>
          <w:rtl w:val="0"/>
        </w:rPr>
        <w:t xml:space="preserve">Confiabilidad de la Información: </w:t>
      </w:r>
      <w:r w:rsidDel="00000000" w:rsidR="00000000" w:rsidRPr="00000000">
        <w:rPr>
          <w:rFonts w:ascii="Verdana" w:cs="Verdana" w:eastAsia="Verdana" w:hAnsi="Verdana"/>
          <w:rtl w:val="0"/>
        </w:rPr>
        <w:t xml:space="preserve">es decir, que la información generada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sea adecuada para sustentar la toma de decisiones y la ejecución de las misiones y funciones.</w:t>
      </w:r>
    </w:p>
    <w:p w:rsidR="00000000" w:rsidDel="00000000" w:rsidP="00000000" w:rsidRDefault="00000000" w:rsidRPr="00000000" w14:paraId="0000003C">
      <w:pPr>
        <w:widowControl w:val="0"/>
        <w:jc w:val="both"/>
        <w:rPr>
          <w:rFonts w:ascii="Verdana" w:cs="Verdana" w:eastAsia="Verdana" w:hAnsi="Verdana"/>
        </w:rPr>
      </w:pPr>
      <w:r w:rsidDel="00000000" w:rsidR="00000000" w:rsidRPr="00000000">
        <w:rPr>
          <w:rFonts w:ascii="Verdana" w:cs="Verdana" w:eastAsia="Verdana" w:hAnsi="Verdana"/>
          <w:b w:val="1"/>
          <w:rtl w:val="0"/>
        </w:rPr>
        <w:t xml:space="preserve">Confidencialidad: </w:t>
      </w:r>
      <w:r w:rsidDel="00000000" w:rsidR="00000000" w:rsidRPr="00000000">
        <w:rPr>
          <w:rFonts w:ascii="Verdana" w:cs="Verdana" w:eastAsia="Verdana" w:hAnsi="Verdana"/>
          <w:rtl w:val="0"/>
        </w:rPr>
        <w:t xml:space="preserve">garantizar que todos los recursos informáticos estén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protegidos contra uso no autorizado o revelaciones accidentales. La información deberá ser considerada como privada y restringida. Se garantiza que la información sea accesible sólo a aquellas personas autorizadas a tener acceso a la misma.</w:t>
      </w:r>
    </w:p>
    <w:p w:rsidR="00000000" w:rsidDel="00000000" w:rsidP="00000000" w:rsidRDefault="00000000" w:rsidRPr="00000000" w14:paraId="0000003D">
      <w:pPr>
        <w:jc w:val="both"/>
        <w:rPr>
          <w:rFonts w:ascii="Verdana" w:cs="Verdana" w:eastAsia="Verdana" w:hAnsi="Verdana"/>
        </w:rPr>
      </w:pPr>
      <w:r w:rsidDel="00000000" w:rsidR="00000000" w:rsidRPr="00000000">
        <w:rPr>
          <w:rFonts w:ascii="Verdana" w:cs="Verdana" w:eastAsia="Verdana" w:hAnsi="Verdana"/>
          <w:b w:val="1"/>
          <w:rtl w:val="0"/>
        </w:rPr>
        <w:t xml:space="preserve">Disponibilidad: </w:t>
      </w:r>
      <w:r w:rsidDel="00000000" w:rsidR="00000000" w:rsidRPr="00000000">
        <w:rPr>
          <w:rFonts w:ascii="Verdana" w:cs="Verdana" w:eastAsia="Verdana" w:hAnsi="Verdana"/>
          <w:rtl w:val="0"/>
        </w:rPr>
        <w:t xml:space="preserve">garantizar que la información crítica y la capacidad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rsidR="00000000" w:rsidDel="00000000" w:rsidP="00000000" w:rsidRDefault="00000000" w:rsidRPr="00000000" w14:paraId="0000003E">
      <w:pPr>
        <w:jc w:val="both"/>
        <w:rPr>
          <w:rFonts w:ascii="Verdana" w:cs="Verdana" w:eastAsia="Verdana" w:hAnsi="Verdana"/>
        </w:rPr>
      </w:pPr>
      <w:r w:rsidDel="00000000" w:rsidR="00000000" w:rsidRPr="00000000">
        <w:rPr>
          <w:rFonts w:ascii="Verdana" w:cs="Verdana" w:eastAsia="Verdana" w:hAnsi="Verdana"/>
          <w:b w:val="1"/>
          <w:rtl w:val="0"/>
        </w:rPr>
        <w:t xml:space="preserve">Evaluación del riesgo:</w:t>
      </w:r>
      <w:r w:rsidDel="00000000" w:rsidR="00000000" w:rsidRPr="00000000">
        <w:rPr>
          <w:rFonts w:ascii="Verdana" w:cs="Verdana" w:eastAsia="Verdana" w:hAnsi="Verdana"/>
          <w:rtl w:val="0"/>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rsidR="00000000" w:rsidDel="00000000" w:rsidP="00000000" w:rsidRDefault="00000000" w:rsidRPr="00000000" w14:paraId="0000003F">
      <w:pPr>
        <w:jc w:val="both"/>
        <w:rPr>
          <w:rFonts w:ascii="Verdana" w:cs="Verdana" w:eastAsia="Verdana" w:hAnsi="Verdana"/>
        </w:rPr>
      </w:pPr>
      <w:r w:rsidDel="00000000" w:rsidR="00000000" w:rsidRPr="00000000">
        <w:rPr>
          <w:rFonts w:ascii="Verdana" w:cs="Verdana" w:eastAsia="Verdana" w:hAnsi="Verdana"/>
          <w:b w:val="1"/>
          <w:rtl w:val="0"/>
        </w:rPr>
        <w:t xml:space="preserve">Firewalls: </w:t>
      </w:r>
      <w:r w:rsidDel="00000000" w:rsidR="00000000" w:rsidRPr="00000000">
        <w:rPr>
          <w:rFonts w:ascii="Verdana" w:cs="Verdana" w:eastAsia="Verdana" w:hAnsi="Verdana"/>
          <w:rtl w:val="0"/>
        </w:rPr>
        <w:t xml:space="preserve">son dispositivos de seguridad, que permiten filtrar contenidos y</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proteger las aplicaciones de accesos no autorizados o ataques de tipo hacker.</w:t>
      </w:r>
    </w:p>
    <w:p w:rsidR="00000000" w:rsidDel="00000000" w:rsidP="00000000" w:rsidRDefault="00000000" w:rsidRPr="00000000" w14:paraId="00000040">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Incidente de seguridad</w:t>
      </w:r>
      <w:r w:rsidDel="00000000" w:rsidR="00000000" w:rsidRPr="00000000">
        <w:rPr>
          <w:rFonts w:ascii="Verdana" w:cs="Verdana" w:eastAsia="Verdana" w:hAnsi="Verdana"/>
          <w:rtl w:val="0"/>
        </w:rPr>
        <w:t xml:space="preserve">: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rsidR="00000000" w:rsidDel="00000000" w:rsidP="00000000" w:rsidRDefault="00000000" w:rsidRPr="00000000" w14:paraId="00000041">
      <w:pPr>
        <w:jc w:val="both"/>
        <w:rPr>
          <w:rFonts w:ascii="Verdana" w:cs="Verdana" w:eastAsia="Verdana" w:hAnsi="Verdana"/>
        </w:rPr>
      </w:pPr>
      <w:r w:rsidDel="00000000" w:rsidR="00000000" w:rsidRPr="00000000">
        <w:rPr>
          <w:rFonts w:ascii="Verdana" w:cs="Verdana" w:eastAsia="Verdana" w:hAnsi="Verdana"/>
          <w:b w:val="1"/>
          <w:rtl w:val="0"/>
        </w:rPr>
        <w:t xml:space="preserve">Integridad: </w:t>
      </w:r>
      <w:r w:rsidDel="00000000" w:rsidR="00000000" w:rsidRPr="00000000">
        <w:rPr>
          <w:rFonts w:ascii="Verdana" w:cs="Verdana" w:eastAsia="Verdana" w:hAnsi="Verdana"/>
          <w:rtl w:val="0"/>
        </w:rPr>
        <w:t xml:space="preserve">establecer mecanismos para garantizar que toda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la información que se maneje se encuentre libre de errores y/o corrupción de cualquier índole. se salvaguarda la exactitud y totalidad de la información y los métodos de procesamiento.</w:t>
      </w:r>
    </w:p>
    <w:bookmarkStart w:colFirst="0" w:colLast="0" w:name="bookmark=id.2250f4o" w:id="87"/>
    <w:bookmarkEnd w:id="87"/>
    <w:p w:rsidR="00000000" w:rsidDel="00000000" w:rsidP="00000000" w:rsidRDefault="00000000" w:rsidRPr="00000000" w14:paraId="00000042">
      <w:pPr>
        <w:jc w:val="both"/>
        <w:rPr>
          <w:rFonts w:ascii="Verdana" w:cs="Verdana" w:eastAsia="Verdana" w:hAnsi="Verdana"/>
        </w:rPr>
      </w:pPr>
      <w:r w:rsidDel="00000000" w:rsidR="00000000" w:rsidRPr="00000000">
        <w:rPr>
          <w:rFonts w:ascii="Verdana" w:cs="Verdana" w:eastAsia="Verdana" w:hAnsi="Verdana"/>
          <w:b w:val="1"/>
          <w:rtl w:val="0"/>
        </w:rPr>
        <w:t xml:space="preserve">Legalidad: </w:t>
      </w:r>
      <w:r w:rsidDel="00000000" w:rsidR="00000000" w:rsidRPr="00000000">
        <w:rPr>
          <w:rFonts w:ascii="Verdana" w:cs="Verdana" w:eastAsia="Verdana" w:hAnsi="Verdana"/>
          <w:rtl w:val="0"/>
        </w:rPr>
        <w:t xml:space="preserve">referido al cumplimiento de las leyes, normas,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reglamentaciones o disposiciones a las que está sujeto el Organismo.</w:t>
      </w:r>
    </w:p>
    <w:p w:rsidR="00000000" w:rsidDel="00000000" w:rsidP="00000000" w:rsidRDefault="00000000" w:rsidRPr="00000000" w14:paraId="00000043">
      <w:pPr>
        <w:widowControl w:val="0"/>
        <w:ind w:right="120"/>
        <w:jc w:val="both"/>
        <w:rPr>
          <w:rFonts w:ascii="Verdana" w:cs="Verdana" w:eastAsia="Verdana" w:hAnsi="Verdana"/>
        </w:rPr>
      </w:pPr>
      <w:r w:rsidDel="00000000" w:rsidR="00000000" w:rsidRPr="00000000">
        <w:rPr>
          <w:rFonts w:ascii="Verdana" w:cs="Verdana" w:eastAsia="Verdana" w:hAnsi="Verdana"/>
          <w:b w:val="1"/>
          <w:rtl w:val="0"/>
        </w:rPr>
        <w:t xml:space="preserve">Lugar seguro:</w:t>
      </w:r>
      <w:r w:rsidDel="00000000" w:rsidR="00000000" w:rsidRPr="00000000">
        <w:rPr>
          <w:rFonts w:ascii="Verdana" w:cs="Verdana" w:eastAsia="Verdana" w:hAnsi="Verdana"/>
          <w:rtl w:val="0"/>
        </w:rPr>
        <w:t xml:space="preserve"> Sitio físico o electrónico que protege la información de accesos no autorizados, perdida, robo, daño, fuga. Cuya recuperación es inmediata para personas autorizadas. </w:t>
      </w:r>
    </w:p>
    <w:p w:rsidR="00000000" w:rsidDel="00000000" w:rsidP="00000000" w:rsidRDefault="00000000" w:rsidRPr="00000000" w14:paraId="00000044">
      <w:pPr>
        <w:jc w:val="both"/>
        <w:rPr>
          <w:rFonts w:ascii="Verdana" w:cs="Verdana" w:eastAsia="Verdana" w:hAnsi="Verdana"/>
        </w:rPr>
      </w:pPr>
      <w:r w:rsidDel="00000000" w:rsidR="00000000" w:rsidRPr="00000000">
        <w:rPr>
          <w:rFonts w:ascii="Verdana" w:cs="Verdana" w:eastAsia="Verdana" w:hAnsi="Verdana"/>
          <w:b w:val="1"/>
          <w:rtl w:val="0"/>
        </w:rPr>
        <w:t xml:space="preserve">No repudio: </w:t>
      </w:r>
      <w:r w:rsidDel="00000000" w:rsidR="00000000" w:rsidRPr="00000000">
        <w:rPr>
          <w:rFonts w:ascii="Verdana" w:cs="Verdana" w:eastAsia="Verdana" w:hAnsi="Verdana"/>
          <w:rtl w:val="0"/>
        </w:rPr>
        <w:t xml:space="preserve">se refiere a evitar que una entidad que haya enviado o</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recibido información alegue ante terceros que no la envió o recibió.</w:t>
      </w:r>
    </w:p>
    <w:p w:rsidR="00000000" w:rsidDel="00000000" w:rsidP="00000000" w:rsidRDefault="00000000" w:rsidRPr="00000000" w14:paraId="00000045">
      <w:pPr>
        <w:jc w:val="both"/>
        <w:rPr>
          <w:rFonts w:ascii="Verdana" w:cs="Verdana" w:eastAsia="Verdana" w:hAnsi="Verdana"/>
        </w:rPr>
      </w:pPr>
      <w:r w:rsidDel="00000000" w:rsidR="00000000" w:rsidRPr="00000000">
        <w:rPr>
          <w:rFonts w:ascii="Verdana" w:cs="Verdana" w:eastAsia="Verdana" w:hAnsi="Verdana"/>
          <w:b w:val="1"/>
          <w:rtl w:val="0"/>
        </w:rPr>
        <w:t xml:space="preserve">Protección a la duplicación: </w:t>
      </w:r>
      <w:r w:rsidDel="00000000" w:rsidR="00000000" w:rsidRPr="00000000">
        <w:rPr>
          <w:rFonts w:ascii="Verdana" w:cs="Verdana" w:eastAsia="Verdana" w:hAnsi="Verdana"/>
          <w:rtl w:val="0"/>
        </w:rPr>
        <w:t xml:space="preserve">consiste en asegurar que una transacción sólo se realiza una vez, a menos que se especifique lo contrario. Impedir que se grabe una transacción para luego reproducirla, con el Objeto de simular múltiples peticiones del mismo remitente original.</w:t>
      </w:r>
    </w:p>
    <w:p w:rsidR="00000000" w:rsidDel="00000000" w:rsidP="00000000" w:rsidRDefault="00000000" w:rsidRPr="00000000" w14:paraId="00000046">
      <w:pPr>
        <w:jc w:val="both"/>
        <w:rPr>
          <w:rFonts w:ascii="Verdana" w:cs="Verdana" w:eastAsia="Verdana" w:hAnsi="Verdana"/>
        </w:rPr>
      </w:pPr>
      <w:r w:rsidDel="00000000" w:rsidR="00000000" w:rsidRPr="00000000">
        <w:rPr>
          <w:rFonts w:ascii="Verdana" w:cs="Verdana" w:eastAsia="Verdana" w:hAnsi="Verdana"/>
          <w:b w:val="1"/>
          <w:rtl w:val="0"/>
        </w:rPr>
        <w:t xml:space="preserve">Sistema de Información: </w:t>
      </w:r>
      <w:r w:rsidDel="00000000" w:rsidR="00000000" w:rsidRPr="00000000">
        <w:rPr>
          <w:rFonts w:ascii="Verdana" w:cs="Verdana" w:eastAsia="Verdana" w:hAnsi="Verdana"/>
          <w:rtl w:val="0"/>
        </w:rPr>
        <w:t xml:space="preserve">Se refiere a un conjunto independiente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recursos de información organizados para la recopilación, procesamiento, mantenimiento, transmisión y difusión de información según determinados procedimientos, tanto automatizados como manuales.</w:t>
      </w:r>
    </w:p>
    <w:p w:rsidR="00000000" w:rsidDel="00000000" w:rsidP="00000000" w:rsidRDefault="00000000" w:rsidRPr="00000000" w14:paraId="00000047">
      <w:pPr>
        <w:widowControl w:val="0"/>
        <w:ind w:right="100"/>
        <w:jc w:val="both"/>
        <w:rPr>
          <w:rFonts w:ascii="Verdana" w:cs="Verdana" w:eastAsia="Verdana" w:hAnsi="Verdana"/>
        </w:rPr>
      </w:pPr>
      <w:r w:rsidDel="00000000" w:rsidR="00000000" w:rsidRPr="00000000">
        <w:rPr>
          <w:rFonts w:ascii="Verdana" w:cs="Verdana" w:eastAsia="Verdana" w:hAnsi="Verdana"/>
          <w:b w:val="1"/>
          <w:rtl w:val="0"/>
        </w:rPr>
        <w:t xml:space="preserve">Responsable de Seguridad y privacidad de la información</w:t>
      </w:r>
      <w:r w:rsidDel="00000000" w:rsidR="00000000" w:rsidRPr="00000000">
        <w:rPr>
          <w:rFonts w:ascii="Verdana" w:cs="Verdana" w:eastAsia="Verdana" w:hAnsi="Verdana"/>
          <w:rtl w:val="0"/>
        </w:rPr>
        <w:t xml:space="preserve">: Es la persona que cumple la función de supervisar el cumplimiento de la presente Política y de asesorar en materia de seguridad de la información a los integrantes del Organismo que así lo requieran.</w:t>
      </w:r>
    </w:p>
    <w:p w:rsidR="00000000" w:rsidDel="00000000" w:rsidP="00000000" w:rsidRDefault="00000000" w:rsidRPr="00000000" w14:paraId="00000048">
      <w:pPr>
        <w:jc w:val="both"/>
        <w:rPr>
          <w:rFonts w:ascii="Verdana" w:cs="Verdana" w:eastAsia="Verdana" w:hAnsi="Verdana"/>
        </w:rPr>
      </w:pPr>
      <w:r w:rsidDel="00000000" w:rsidR="00000000" w:rsidRPr="00000000">
        <w:rPr>
          <w:rFonts w:ascii="Verdana" w:cs="Verdana" w:eastAsia="Verdana" w:hAnsi="Verdana"/>
          <w:b w:val="1"/>
          <w:rtl w:val="0"/>
        </w:rPr>
        <w:t xml:space="preserve">Tecnología de la Información: </w:t>
      </w:r>
      <w:r w:rsidDel="00000000" w:rsidR="00000000" w:rsidRPr="00000000">
        <w:rPr>
          <w:rFonts w:ascii="Verdana" w:cs="Verdana" w:eastAsia="Verdana" w:hAnsi="Verdana"/>
          <w:rtl w:val="0"/>
        </w:rPr>
        <w:t xml:space="preserve">Se refiere al hardware y software operados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por el Organismo o por un tercero que procese información en su nombre, para llevar a cabo una función propia del Organismo, sin tener en cuenta la tecnología utilizada, ya se trate de computación de datos, telecomunicaciones u otro tipo.</w:t>
      </w:r>
    </w:p>
    <w:p w:rsidR="00000000" w:rsidDel="00000000" w:rsidP="00000000" w:rsidRDefault="00000000" w:rsidRPr="00000000" w14:paraId="00000049">
      <w:pPr>
        <w:jc w:val="both"/>
        <w:rPr>
          <w:rFonts w:ascii="Verdana" w:cs="Verdana" w:eastAsia="Verdana" w:hAnsi="Verdana"/>
        </w:rPr>
      </w:pPr>
      <w:r w:rsidDel="00000000" w:rsidR="00000000" w:rsidRPr="00000000">
        <w:rPr>
          <w:rFonts w:ascii="Verdana" w:cs="Verdana" w:eastAsia="Verdana" w:hAnsi="Verdana"/>
          <w:b w:val="1"/>
          <w:rtl w:val="0"/>
        </w:rPr>
        <w:t xml:space="preserve">Tercero: </w:t>
      </w:r>
      <w:r w:rsidDel="00000000" w:rsidR="00000000" w:rsidRPr="00000000">
        <w:rPr>
          <w:rFonts w:ascii="Verdana" w:cs="Verdana" w:eastAsia="Verdana" w:hAnsi="Verdana"/>
          <w:rtl w:val="0"/>
        </w:rPr>
        <w:t xml:space="preserve">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rsidR="00000000" w:rsidDel="00000000" w:rsidP="00000000" w:rsidRDefault="00000000" w:rsidRPr="00000000" w14:paraId="0000004A">
      <w:pPr>
        <w:widowControl w:val="0"/>
        <w:ind w:right="120"/>
        <w:jc w:val="both"/>
        <w:rPr>
          <w:rFonts w:ascii="Verdana" w:cs="Verdana" w:eastAsia="Verdana" w:hAnsi="Verdana"/>
        </w:rPr>
      </w:pPr>
      <w:bookmarkStart w:colFirst="0" w:colLast="0" w:name="_heading=h.haapch" w:id="88"/>
      <w:bookmarkEnd w:id="88"/>
      <w:r w:rsidDel="00000000" w:rsidR="00000000" w:rsidRPr="00000000">
        <w:rPr>
          <w:rFonts w:ascii="Verdana" w:cs="Verdana" w:eastAsia="Verdana" w:hAnsi="Verdana"/>
          <w:b w:val="1"/>
          <w:rtl w:val="0"/>
        </w:rPr>
        <w:t xml:space="preserve">Usuario: </w:t>
      </w:r>
      <w:r w:rsidDel="00000000" w:rsidR="00000000" w:rsidRPr="00000000">
        <w:rPr>
          <w:rFonts w:ascii="Verdana" w:cs="Verdana" w:eastAsia="Verdana" w:hAnsi="Verdana"/>
          <w:rtl w:val="0"/>
        </w:rPr>
        <w:t xml:space="preserve">funcionarios, contratistas o terceros que hacen uso de los servicios informáticos del Instituto Nacional para Sordos-INSOR.</w:t>
      </w:r>
    </w:p>
    <w:p w:rsidR="00000000" w:rsidDel="00000000" w:rsidP="00000000" w:rsidRDefault="00000000" w:rsidRPr="00000000" w14:paraId="0000004B">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319y80a" w:id="89"/>
      <w:bookmarkEnd w:id="89"/>
      <w:r w:rsidDel="00000000" w:rsidR="00000000" w:rsidRPr="00000000">
        <w:rPr>
          <w:rFonts w:ascii="Verdana" w:cs="Verdana" w:eastAsia="Verdana" w:hAnsi="Verdana"/>
          <w:b w:val="1"/>
          <w:color w:val="000000"/>
          <w:sz w:val="22"/>
          <w:szCs w:val="22"/>
          <w:rtl w:val="0"/>
        </w:rPr>
        <w:t xml:space="preserve">METODOLOGIA DE IMPLEMENTACIÓN</w:t>
      </w:r>
    </w:p>
    <w:p w:rsidR="00000000" w:rsidDel="00000000" w:rsidP="00000000" w:rsidRDefault="00000000" w:rsidRPr="00000000" w14:paraId="0000004C">
      <w:pPr>
        <w:rPr>
          <w:rFonts w:ascii="Verdana" w:cs="Verdana" w:eastAsia="Verdana" w:hAnsi="Verdana"/>
        </w:rPr>
      </w:pPr>
      <w:r w:rsidDel="00000000" w:rsidR="00000000" w:rsidRPr="00000000">
        <w:rPr>
          <w:rtl w:val="0"/>
        </w:rPr>
      </w:r>
    </w:p>
    <w:p w:rsidR="00000000" w:rsidDel="00000000" w:rsidP="00000000" w:rsidRDefault="00000000" w:rsidRPr="00000000" w14:paraId="0000004D">
      <w:pPr>
        <w:jc w:val="both"/>
        <w:rPr>
          <w:rFonts w:ascii="Verdana" w:cs="Verdana" w:eastAsia="Verdana" w:hAnsi="Verdana"/>
        </w:rPr>
      </w:pPr>
      <w:r w:rsidDel="00000000" w:rsidR="00000000" w:rsidRPr="00000000">
        <w:rPr>
          <w:rFonts w:ascii="Verdana" w:cs="Verdana" w:eastAsia="Verdana" w:hAnsi="Verdana"/>
          <w:rtl w:val="0"/>
        </w:rPr>
        <w:t xml:space="preserve">La metodología de implementación del Plan de Seguridad y Privacidad para el Instituto Nacional para Sordos-INSOR, se basa en el ciclo PHVA (Planificar-Hacer-Verificar-Actuar) y lo establecido en el Modelo de Seguridad y Privacidad del Ministerio de Tecnologías de la Información y las Comunicaciones – MINTIC de acuerdo a la Norma Técnica Colombiana ISO27001:2022 y lo establecido en el Decreto 767 de 2022:</w:t>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Fonts w:ascii="Verdana" w:cs="Verdana" w:eastAsia="Verdana" w:hAnsi="Verdana"/>
        </w:rPr>
        <w:drawing>
          <wp:inline distB="0" distT="0" distL="0" distR="0">
            <wp:extent cx="5104163" cy="2416332"/>
            <wp:effectExtent b="0" l="0" r="0" t="0"/>
            <wp:docPr id="6" name="image2.png"/>
            <a:graphic>
              <a:graphicData uri="http://schemas.openxmlformats.org/drawingml/2006/picture">
                <pic:pic>
                  <pic:nvPicPr>
                    <pic:cNvPr id="0" name="image2.png"/>
                    <pic:cNvPicPr preferRelativeResize="0"/>
                  </pic:nvPicPr>
                  <pic:blipFill>
                    <a:blip r:embed="rId11"/>
                    <a:srcRect b="25738" l="22233" r="13950" t="20527"/>
                    <a:stretch>
                      <a:fillRect/>
                    </a:stretch>
                  </pic:blipFill>
                  <pic:spPr>
                    <a:xfrm>
                      <a:off x="0" y="0"/>
                      <a:ext cx="5104163" cy="241633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center"/>
        <w:rPr>
          <w:rFonts w:ascii="Verdana" w:cs="Verdana" w:eastAsia="Verdana" w:hAnsi="Verdana"/>
        </w:rPr>
      </w:pPr>
      <w:r w:rsidDel="00000000" w:rsidR="00000000" w:rsidRPr="00000000">
        <w:rPr>
          <w:rFonts w:ascii="Verdana" w:cs="Verdana" w:eastAsia="Verdana" w:hAnsi="Verdana"/>
          <w:rtl w:val="0"/>
        </w:rPr>
        <w:t xml:space="preserve">Ciclo de operación del Modelo de Seguridad y Privacidad de la Información</w:t>
      </w:r>
    </w:p>
    <w:p w:rsidR="00000000" w:rsidDel="00000000" w:rsidP="00000000" w:rsidRDefault="00000000" w:rsidRPr="00000000" w14:paraId="00000051">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52">
      <w:pPr>
        <w:jc w:val="both"/>
        <w:rPr>
          <w:rFonts w:ascii="Verdana" w:cs="Verdana" w:eastAsia="Verdana" w:hAnsi="Verdana"/>
        </w:rPr>
      </w:pPr>
      <w:bookmarkStart w:colFirst="0" w:colLast="0" w:name="_heading=h.1gf8i83" w:id="90"/>
      <w:bookmarkEnd w:id="90"/>
      <w:r w:rsidDel="00000000" w:rsidR="00000000" w:rsidRPr="00000000">
        <w:rPr>
          <w:rFonts w:ascii="Verdana" w:cs="Verdana" w:eastAsia="Verdana" w:hAnsi="Verdana"/>
          <w:rtl w:val="0"/>
        </w:rPr>
        <w:t xml:space="preserve">A la fecha se realizaron las actividades de planificación e implementación que incluyen planeación, soporte, estado actual de la información, actividades de implementación donde se incluyen la actualización de procedimientos, guías y manuales, plan de continuidad del negocio, plan de sensibilización de seguridad de la información.</w:t>
      </w:r>
    </w:p>
    <w:p w:rsidR="00000000" w:rsidDel="00000000" w:rsidP="00000000" w:rsidRDefault="00000000" w:rsidRPr="00000000" w14:paraId="00000053">
      <w:pPr>
        <w:jc w:val="both"/>
        <w:rPr>
          <w:rFonts w:ascii="Verdana" w:cs="Verdana" w:eastAsia="Verdana" w:hAnsi="Verdana"/>
        </w:rPr>
      </w:pPr>
      <w:bookmarkStart w:colFirst="0" w:colLast="0" w:name="_heading=h.40ew0vw" w:id="91"/>
      <w:bookmarkEnd w:id="91"/>
      <w:r w:rsidDel="00000000" w:rsidR="00000000" w:rsidRPr="00000000">
        <w:rPr>
          <w:rFonts w:ascii="Verdana" w:cs="Verdana" w:eastAsia="Verdana" w:hAnsi="Verdana"/>
          <w:rtl w:val="0"/>
        </w:rPr>
        <w:t xml:space="preserve">Para la vigencia 2024 se tienen establecidas las actividades de mejora continua, tratamiento de riesgos como actualización y verificación de activos de información, activos de hardware y software y activos críticos, verificación de las fases de implementación, verificación de recomendaciones en el mejoramiento de la verificación del plan de mejoramiento de la última auditoría realizada al proceso de tecnología.</w:t>
      </w:r>
    </w:p>
    <w:p w:rsidR="00000000" w:rsidDel="00000000" w:rsidP="00000000" w:rsidRDefault="00000000" w:rsidRPr="00000000" w14:paraId="0000005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pStyle w:val="Heading2"/>
        <w:rPr>
          <w:rFonts w:ascii="Verdana" w:cs="Verdana" w:eastAsia="Verdana" w:hAnsi="Verdana"/>
          <w:color w:val="000000"/>
          <w:sz w:val="22"/>
          <w:szCs w:val="22"/>
        </w:rPr>
      </w:pPr>
      <w:bookmarkStart w:colFirst="0" w:colLast="0" w:name="_heading=h.2fk6b3p" w:id="92"/>
      <w:bookmarkEnd w:id="92"/>
      <w:r w:rsidDel="00000000" w:rsidR="00000000" w:rsidRPr="00000000">
        <w:rPr>
          <w:rFonts w:ascii="Verdana" w:cs="Verdana" w:eastAsia="Verdana" w:hAnsi="Verdana"/>
          <w:color w:val="000000"/>
          <w:sz w:val="22"/>
          <w:szCs w:val="22"/>
          <w:rtl w:val="0"/>
        </w:rPr>
        <w:t xml:space="preserve">5.1 CUMPIMIENTO DE LA IMPLEMENTACIÓN</w:t>
      </w:r>
    </w:p>
    <w:p w:rsidR="00000000" w:rsidDel="00000000" w:rsidP="00000000" w:rsidRDefault="00000000" w:rsidRPr="00000000" w14:paraId="00000056">
      <w:pPr>
        <w:rPr>
          <w:rFonts w:ascii="Verdana" w:cs="Verdana" w:eastAsia="Verdana" w:hAnsi="Verdana"/>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Sordos-INSOR en su modelo de seguridad y privacidad de la información se encuentra en la fase de implementación y evaluación en verificación de auditoría basado en los dominios de la norma técnica ISO 27001:2022.</w:t>
      </w:r>
    </w:p>
    <w:p w:rsidR="00000000" w:rsidDel="00000000" w:rsidP="00000000" w:rsidRDefault="00000000" w:rsidRPr="00000000" w14:paraId="0000005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pStyle w:val="Heading2"/>
        <w:rPr>
          <w:rFonts w:ascii="Verdana" w:cs="Verdana" w:eastAsia="Verdana" w:hAnsi="Verdana"/>
          <w:color w:val="000000"/>
          <w:sz w:val="22"/>
          <w:szCs w:val="22"/>
        </w:rPr>
      </w:pPr>
      <w:bookmarkStart w:colFirst="0" w:colLast="0" w:name="_heading=h.upglbi" w:id="93"/>
      <w:bookmarkEnd w:id="93"/>
      <w:r w:rsidDel="00000000" w:rsidR="00000000" w:rsidRPr="00000000">
        <w:rPr>
          <w:rFonts w:ascii="Verdana" w:cs="Verdana" w:eastAsia="Verdana" w:hAnsi="Verdana"/>
          <w:color w:val="000000"/>
          <w:sz w:val="22"/>
          <w:szCs w:val="22"/>
          <w:rtl w:val="0"/>
        </w:rPr>
        <w:t xml:space="preserve">5.2 NIVEL DE MADUREZ DE SGSI</w:t>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rPr>
      </w:pPr>
      <w:r w:rsidDel="00000000" w:rsidR="00000000" w:rsidRPr="00000000">
        <w:rPr>
          <w:rFonts w:ascii="Verdana" w:cs="Verdana" w:eastAsia="Verdana" w:hAnsi="Verdana"/>
          <w:rtl w:val="0"/>
        </w:rPr>
        <w:t xml:space="preserve">Según el modelo de privacidad y seguridad de la información establecido por el Ministerio de Tecnologías de Información el INSOR se encuentra en el nivel 3 de implementación donde se deben ejecutar las acciones trazadas en la etapa previa de planeación de manera que la entidad diseñe un modelo de privacidad que le permita cumplir con los mínimos legales y las buenas prácticas de la política de privacidad que le permita la correcta gestión de la información.</w:t>
      </w:r>
    </w:p>
    <w:p w:rsidR="00000000" w:rsidDel="00000000" w:rsidP="00000000" w:rsidRDefault="00000000" w:rsidRPr="00000000" w14:paraId="0000005C">
      <w:pPr>
        <w:pStyle w:val="Heading1"/>
        <w:widowControl w:val="1"/>
        <w:numPr>
          <w:ilvl w:val="0"/>
          <w:numId w:val="1"/>
        </w:numPr>
        <w:spacing w:before="480" w:line="276" w:lineRule="auto"/>
        <w:ind w:left="0" w:firstLine="0"/>
        <w:rPr>
          <w:rFonts w:ascii="Verdana" w:cs="Verdana" w:eastAsia="Verdana" w:hAnsi="Verdana"/>
          <w:b w:val="1"/>
          <w:color w:val="000000"/>
          <w:sz w:val="22"/>
          <w:szCs w:val="22"/>
        </w:rPr>
      </w:pPr>
      <w:bookmarkStart w:colFirst="0" w:colLast="0" w:name="_heading=h.3ep43zb" w:id="94"/>
      <w:bookmarkEnd w:id="94"/>
      <w:r w:rsidDel="00000000" w:rsidR="00000000" w:rsidRPr="00000000">
        <w:rPr>
          <w:rFonts w:ascii="Verdana" w:cs="Verdana" w:eastAsia="Verdana" w:hAnsi="Verdana"/>
          <w:b w:val="1"/>
          <w:color w:val="000000"/>
          <w:sz w:val="22"/>
          <w:szCs w:val="22"/>
          <w:rtl w:val="0"/>
        </w:rPr>
        <w:t xml:space="preserve">PLAN DE ACTIVIDADES DEL SGSI</w:t>
      </w:r>
    </w:p>
    <w:p w:rsidR="00000000" w:rsidDel="00000000" w:rsidP="00000000" w:rsidRDefault="00000000" w:rsidRPr="00000000" w14:paraId="0000005D">
      <w:pPr>
        <w:rPr>
          <w:rFonts w:ascii="Verdana" w:cs="Verdana" w:eastAsia="Verdana" w:hAnsi="Verdana"/>
        </w:rPr>
      </w:pPr>
      <w:r w:rsidDel="00000000" w:rsidR="00000000" w:rsidRPr="00000000">
        <w:rPr>
          <w:rtl w:val="0"/>
        </w:rPr>
      </w:r>
    </w:p>
    <w:tbl>
      <w:tblPr>
        <w:tblStyle w:val="Table1"/>
        <w:tblW w:w="934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
        <w:gridCol w:w="2416"/>
        <w:gridCol w:w="1353"/>
        <w:gridCol w:w="1276"/>
        <w:gridCol w:w="1643"/>
        <w:gridCol w:w="2178"/>
        <w:tblGridChange w:id="0">
          <w:tblGrid>
            <w:gridCol w:w="482"/>
            <w:gridCol w:w="2416"/>
            <w:gridCol w:w="1353"/>
            <w:gridCol w:w="1276"/>
            <w:gridCol w:w="1643"/>
            <w:gridCol w:w="2178"/>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Actividad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Fecha Inicio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Fecha Final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Responsable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Producto</w:t>
            </w:r>
            <w:r w:rsidDel="00000000" w:rsidR="00000000" w:rsidRPr="00000000">
              <w:rPr>
                <w:rtl w:val="0"/>
              </w:rPr>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Verdana" w:cs="Verdana" w:eastAsia="Verdana" w:hAnsi="Verdana"/>
                <w:b w:val="0"/>
                <w:i w:val="0"/>
                <w:smallCaps w:val="0"/>
                <w:strike w:val="0"/>
                <w:color w:val="000000"/>
                <w:sz w:val="24"/>
                <w:szCs w:val="24"/>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INSTRUMENTO DE EVALUACIÓN MSPI</w:t>
            </w: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Aplicar el instrumento de identificación de la línea base de seguridad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Abril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Levantamiento de información MSPI</w:t>
            </w:r>
          </w:p>
          <w:p w:rsidR="00000000" w:rsidDel="00000000" w:rsidP="00000000" w:rsidRDefault="00000000" w:rsidRPr="00000000" w14:paraId="00000070">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Línea Base</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Aplicar el instrumento de identificación de la línea base de seguridad administrativa y técnica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Mayo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Agosto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Levantamiento de información MSPI</w:t>
            </w:r>
          </w:p>
          <w:p w:rsidR="00000000" w:rsidDel="00000000" w:rsidP="00000000" w:rsidRDefault="00000000" w:rsidRPr="00000000" w14:paraId="00000077">
            <w:pPr>
              <w:widowControl w:val="0"/>
              <w:spacing w:line="276" w:lineRule="auto"/>
              <w:rPr>
                <w:rFonts w:ascii="Verdana" w:cs="Verdana" w:eastAsia="Verdana" w:hAnsi="Verdana"/>
              </w:rPr>
            </w:pPr>
            <w:r w:rsidDel="00000000" w:rsidR="00000000" w:rsidRPr="00000000">
              <w:rPr>
                <w:rFonts w:ascii="Verdana" w:cs="Verdana" w:eastAsia="Verdana" w:hAnsi="Verdana"/>
                <w:rtl w:val="0"/>
              </w:rPr>
              <w:t xml:space="preserve">Administrativas </w:t>
            </w:r>
          </w:p>
          <w:p w:rsidR="00000000" w:rsidDel="00000000" w:rsidP="00000000" w:rsidRDefault="00000000" w:rsidRPr="00000000" w14:paraId="00000078">
            <w:pPr>
              <w:widowControl w:val="0"/>
              <w:spacing w:line="276" w:lineRule="auto"/>
              <w:rPr>
                <w:rFonts w:ascii="Verdana" w:cs="Verdana" w:eastAsia="Verdana" w:hAnsi="Verdana"/>
              </w:rPr>
            </w:pPr>
            <w:r w:rsidDel="00000000" w:rsidR="00000000" w:rsidRPr="00000000">
              <w:rPr>
                <w:rFonts w:ascii="Verdana" w:cs="Verdana" w:eastAsia="Verdana" w:hAnsi="Verdana"/>
                <w:rtl w:val="0"/>
              </w:rPr>
              <w:t xml:space="preserve">Técnicas</w:t>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Verdana" w:cs="Verdana" w:eastAsia="Verdana" w:hAnsi="Verdana"/>
                <w:b w:val="1"/>
                <w:i w:val="0"/>
                <w:smallCaps w:val="0"/>
                <w:strike w:val="0"/>
                <w:color w:val="000000"/>
                <w:sz w:val="24"/>
                <w:szCs w:val="24"/>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ACTIVOS DE INFORMACIÓN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1"/>
                <w:i w:val="0"/>
                <w:smallCaps w:val="0"/>
                <w:strike w:val="0"/>
                <w:color w:val="000000"/>
                <w:sz w:val="24"/>
                <w:szCs w:val="24"/>
                <w:u w:val="none"/>
                <w:vertAlign w:val="baseline"/>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Actualización activos de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Agosto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Todos los procesos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Matriz de activos</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2.2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Publicación activos de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Septiembre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Matriz de activos</w:t>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8D">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3. RIESGOS DE SEGURIDAD DE LA INFORMACIÓN</w:t>
            </w:r>
            <w:r w:rsidDel="00000000" w:rsidR="00000000" w:rsidRPr="00000000">
              <w:rPr>
                <w:rtl w:val="0"/>
              </w:rPr>
            </w:r>
          </w:p>
        </w:tc>
      </w:tr>
      <w:tr>
        <w:trPr>
          <w:cantSplit w:val="0"/>
          <w:trHeight w:val="9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Actualización metodología riesgos seguridad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Matriz de riesgos</w:t>
            </w:r>
          </w:p>
        </w:tc>
      </w:tr>
      <w:tr>
        <w:trPr>
          <w:cantSplit w:val="0"/>
          <w:trHeight w:val="11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3.2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Identificación de análisis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Agosto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Todas las áreas y procesos del INSOR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Matriz de riesgos</w:t>
            </w:r>
          </w:p>
        </w:tc>
      </w:tr>
      <w:tr>
        <w:trPr>
          <w:cantSplit w:val="0"/>
          <w:trHeight w:val="9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Comunicación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Actas, correos electrónicos</w:t>
            </w:r>
          </w:p>
        </w:tc>
      </w:tr>
      <w:tr>
        <w:trPr>
          <w:cantSplit w:val="0"/>
          <w:trHeight w:val="9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3.4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Tratamiento de riesgos de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Todas las áreas y procesos del INSOR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Actas, correos electrónicos</w:t>
            </w:r>
          </w:p>
        </w:tc>
      </w:tr>
      <w:tr>
        <w:trPr>
          <w:cantSplit w:val="0"/>
          <w:trHeight w:val="9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3.5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Seguimiento y revisión de riesgos de seguridad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Informe</w:t>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4. PLAN DE SENSIBILIZACIÓN SEGURIDAD DE LA INFORMACIÓN</w:t>
            </w:r>
            <w:r w:rsidDel="00000000" w:rsidR="00000000" w:rsidRPr="00000000">
              <w:rPr>
                <w:rtl w:val="0"/>
              </w:rPr>
            </w:r>
          </w:p>
        </w:tc>
      </w:tr>
      <w:tr>
        <w:trPr>
          <w:cantSplit w:val="0"/>
          <w:trHeight w:val="9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4.1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Actualización plan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Matriz de sensibilización de seguridad de la información</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Ejecución del plan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Abril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Noviembre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Informe de ejecución</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4.3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Ejecución indicadores de sensibilización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Hoja de vida de indicadores</w:t>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5. DOMINIOS DE LA NORMA ISO 270001:2022</w:t>
            </w:r>
            <w:r w:rsidDel="00000000" w:rsidR="00000000" w:rsidRPr="00000000">
              <w:rPr>
                <w:rtl w:val="0"/>
              </w:rPr>
            </w:r>
          </w:p>
        </w:tc>
      </w:tr>
      <w:tr>
        <w:trPr>
          <w:cantSplit w:val="0"/>
          <w:trHeight w:val="9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5.1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76" w:lineRule="auto"/>
              <w:ind w:left="40" w:hanging="40"/>
              <w:jc w:val="center"/>
              <w:rPr>
                <w:rFonts w:ascii="Verdana" w:cs="Verdana" w:eastAsia="Verdana" w:hAnsi="Verdana"/>
              </w:rPr>
            </w:pPr>
            <w:r w:rsidDel="00000000" w:rsidR="00000000" w:rsidRPr="00000000">
              <w:rPr>
                <w:rFonts w:ascii="Verdana" w:cs="Verdana" w:eastAsia="Verdana" w:hAnsi="Verdana"/>
                <w:rtl w:val="0"/>
              </w:rPr>
              <w:t xml:space="preserve">Revisión procedimientos, guías y manuales seguridad de la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Noviembre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Documento manual, procedimiento, formato</w:t>
            </w:r>
          </w:p>
        </w:tc>
      </w:tr>
      <w:tr>
        <w:trPr>
          <w:cantSplit w:val="0"/>
          <w:trHeight w:val="9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5.2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Revisión de controles de la norma ISO 270001:2022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Abril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Declaración de aplicabilidad</w:t>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spacing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6. INDICADORES DE GESTIÓN SGSI</w:t>
            </w: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1">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6.1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Reporte indicadores de SGSI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Diciembre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Oficina Asesora de Planeación y Sistemas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Hoja de vida de indicadores</w:t>
            </w:r>
          </w:p>
        </w:tc>
      </w:tr>
    </w:tbl>
    <w:p w:rsidR="00000000" w:rsidDel="00000000" w:rsidP="00000000" w:rsidRDefault="00000000" w:rsidRPr="00000000" w14:paraId="000000E7">
      <w:pPr>
        <w:rPr>
          <w:rFonts w:ascii="Verdana" w:cs="Verdana" w:eastAsia="Verdana" w:hAnsi="Verdana"/>
        </w:rPr>
      </w:pPr>
      <w:r w:rsidDel="00000000" w:rsidR="00000000" w:rsidRPr="00000000">
        <w:rPr>
          <w:rtl w:val="0"/>
        </w:rPr>
      </w:r>
    </w:p>
    <w:p w:rsidR="00000000" w:rsidDel="00000000" w:rsidP="00000000" w:rsidRDefault="00000000" w:rsidRPr="00000000" w14:paraId="000000E8">
      <w:pPr>
        <w:rPr>
          <w:rFonts w:ascii="Verdana" w:cs="Verdana" w:eastAsia="Verdana" w:hAnsi="Verdana"/>
        </w:rPr>
      </w:pPr>
      <w:r w:rsidDel="00000000" w:rsidR="00000000" w:rsidRPr="00000000">
        <w:rPr>
          <w:rtl w:val="0"/>
        </w:rPr>
      </w:r>
    </w:p>
    <w:p w:rsidR="00000000" w:rsidDel="00000000" w:rsidP="00000000" w:rsidRDefault="00000000" w:rsidRPr="00000000" w14:paraId="000000E9">
      <w:pPr>
        <w:rPr>
          <w:rFonts w:ascii="Verdana" w:cs="Verdana" w:eastAsia="Verdana" w:hAnsi="Verdana"/>
        </w:rPr>
      </w:pPr>
      <w:r w:rsidDel="00000000" w:rsidR="00000000" w:rsidRPr="00000000">
        <w:rPr>
          <w:rtl w:val="0"/>
        </w:rPr>
      </w:r>
    </w:p>
    <w:p w:rsidR="00000000" w:rsidDel="00000000" w:rsidP="00000000" w:rsidRDefault="00000000" w:rsidRPr="00000000" w14:paraId="000000EA">
      <w:pPr>
        <w:widowControl w:val="0"/>
        <w:spacing w:line="232" w:lineRule="auto"/>
        <w:ind w:right="100"/>
        <w:jc w:val="both"/>
        <w:rPr>
          <w:rFonts w:ascii="Verdana" w:cs="Verdana" w:eastAsia="Verdana" w:hAnsi="Verdana"/>
        </w:rPr>
      </w:pPr>
      <w:r w:rsidDel="00000000" w:rsidR="00000000" w:rsidRPr="00000000">
        <w:rPr>
          <w:rtl w:val="0"/>
        </w:rPr>
      </w:r>
    </w:p>
    <w:p w:rsidR="00000000" w:rsidDel="00000000" w:rsidP="00000000" w:rsidRDefault="00000000" w:rsidRPr="00000000" w14:paraId="000000EB">
      <w:pPr>
        <w:widowControl w:val="0"/>
        <w:tabs>
          <w:tab w:val="left" w:leader="none" w:pos="1080"/>
          <w:tab w:val="left" w:leader="none" w:pos="1520"/>
        </w:tabs>
        <w:ind w:left="16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EC">
      <w:pPr>
        <w:rPr>
          <w:rFonts w:ascii="Verdana" w:cs="Verdana" w:eastAsia="Verdana" w:hAnsi="Verdana"/>
        </w:rPr>
      </w:pPr>
      <w:r w:rsidDel="00000000" w:rsidR="00000000" w:rsidRPr="00000000">
        <w:rPr>
          <w:rtl w:val="0"/>
        </w:rPr>
      </w:r>
    </w:p>
    <w:p w:rsidR="00000000" w:rsidDel="00000000" w:rsidP="00000000" w:rsidRDefault="00000000" w:rsidRPr="00000000" w14:paraId="000000ED">
      <w:pPr>
        <w:rPr>
          <w:rFonts w:ascii="Verdana" w:cs="Verdana" w:eastAsia="Verdana" w:hAnsi="Verdana"/>
        </w:rPr>
      </w:pPr>
      <w:r w:rsidDel="00000000" w:rsidR="00000000" w:rsidRPr="00000000">
        <w:rPr>
          <w:rtl w:val="0"/>
        </w:rPr>
      </w:r>
    </w:p>
    <w:p w:rsidR="00000000" w:rsidDel="00000000" w:rsidP="00000000" w:rsidRDefault="00000000" w:rsidRPr="00000000" w14:paraId="000000EE">
      <w:pPr>
        <w:rPr>
          <w:rFonts w:ascii="Verdana" w:cs="Verdana" w:eastAsia="Verdana" w:hAnsi="Verdana"/>
        </w:rPr>
      </w:pPr>
      <w:r w:rsidDel="00000000" w:rsidR="00000000" w:rsidRPr="00000000">
        <w:rPr>
          <w:rFonts w:ascii="Verdana" w:cs="Verdana" w:eastAsia="Verdana" w:hAnsi="Verdana"/>
        </w:rPr>
        <w:drawing>
          <wp:anchor allowOverlap="1" behindDoc="0" distB="0" distT="0" distL="114300" distR="114300" hidden="0" layoutInCell="1" locked="0" relativeHeight="0" simplePos="0">
            <wp:simplePos x="0" y="0"/>
            <wp:positionH relativeFrom="margin">
              <wp:posOffset>-1082674</wp:posOffset>
            </wp:positionH>
            <wp:positionV relativeFrom="margin">
              <wp:posOffset>-890269</wp:posOffset>
            </wp:positionV>
            <wp:extent cx="7785100" cy="10058400"/>
            <wp:effectExtent b="0" l="0" r="0" t="0"/>
            <wp:wrapSquare wrapText="bothSides" distB="0" distT="0" distL="114300" distR="114300"/>
            <wp:docPr id="7"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7785100" cy="10058400"/>
                    </a:xfrm>
                    <a:prstGeom prst="rect"/>
                    <a:ln/>
                  </pic:spPr>
                </pic:pic>
              </a:graphicData>
            </a:graphic>
          </wp:anchor>
        </w:drawing>
      </w:r>
      <w:r w:rsidDel="00000000" w:rsidR="00000000" w:rsidRPr="00000000">
        <w:rPr>
          <w:rtl w:val="0"/>
        </w:rPr>
      </w:r>
    </w:p>
    <w:sectPr>
      <w:headerReference r:id="rId13"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-1058565</wp:posOffset>
          </wp:positionH>
          <wp:positionV relativeFrom="margin">
            <wp:posOffset>-863935</wp:posOffset>
          </wp:positionV>
          <wp:extent cx="7728568" cy="10002861"/>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28568" cy="1000286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00" w:hanging="505"/>
      </w:pPr>
      <w:rPr>
        <w:rFonts w:ascii="Verdana" w:cs="Verdana" w:eastAsia="Verdana" w:hAnsi="Verdana"/>
        <w:color w:val="000000"/>
        <w:sz w:val="22"/>
        <w:szCs w:val="22"/>
      </w:rPr>
    </w:lvl>
    <w:lvl w:ilvl="1">
      <w:start w:val="1"/>
      <w:numFmt w:val="decimal"/>
      <w:lvlText w:val="%1.%2."/>
      <w:lvlJc w:val="left"/>
      <w:pPr>
        <w:ind w:left="1021" w:hanging="681"/>
      </w:pPr>
      <w:rPr>
        <w:rFonts w:ascii="Verdana" w:cs="Verdana" w:eastAsia="Verdana" w:hAnsi="Verdana"/>
        <w:b w:val="0"/>
        <w:i w:val="0"/>
        <w:sz w:val="22"/>
        <w:szCs w:val="22"/>
      </w:rPr>
    </w:lvl>
    <w:lvl w:ilvl="2">
      <w:start w:val="1"/>
      <w:numFmt w:val="decimal"/>
      <w:lvlText w:val="%1.%2.%3."/>
      <w:lvlJc w:val="left"/>
      <w:pPr>
        <w:ind w:left="1928" w:hanging="1248"/>
      </w:pPr>
      <w:rPr>
        <w:rFonts w:ascii="Verdana" w:cs="Verdana" w:eastAsia="Verdana" w:hAnsi="Verdana"/>
        <w:sz w:val="22"/>
        <w:szCs w:val="22"/>
      </w:rPr>
    </w:lvl>
    <w:lvl w:ilvl="3">
      <w:start w:val="1"/>
      <w:numFmt w:val="decimal"/>
      <w:lvlText w:val="%1.%2.%3.%4."/>
      <w:lvlJc w:val="left"/>
      <w:pPr>
        <w:ind w:left="2495" w:hanging="1474"/>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widowControl w:val="0"/>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i w:val="1"/>
      <w:color w:val="2e75b5"/>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240" w:lineRule="auto"/>
    </w:pPr>
    <w:rPr>
      <w:rFonts w:ascii="Calibri" w:cs="Calibri" w:eastAsia="Calibri" w:hAnsi="Calibri"/>
      <w:color w:val="848058"/>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83mWx55waYbXk9x5xL3yBzVN7A==">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