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7FDF" w14:textId="77777777" w:rsidR="00984276" w:rsidRPr="00B720D8" w:rsidRDefault="00984276" w:rsidP="00AA2C65">
      <w:pPr>
        <w:pStyle w:val="Encabezado"/>
        <w:rPr>
          <w:rFonts w:ascii="Lucida Sans Unicode" w:hAnsi="Lucida Sans Unicode" w:cs="Lucida Sans Unicode"/>
          <w:szCs w:val="22"/>
          <w:lang w:val="es-CO"/>
        </w:rPr>
      </w:pPr>
    </w:p>
    <w:p w14:paraId="796C48AD" w14:textId="77777777" w:rsidR="00984276" w:rsidRPr="00B720D8" w:rsidRDefault="00984276" w:rsidP="00AA2C65">
      <w:pPr>
        <w:pStyle w:val="Encabezado"/>
        <w:rPr>
          <w:rFonts w:ascii="Lucida Sans Unicode" w:hAnsi="Lucida Sans Unicode" w:cs="Lucida Sans Unicode"/>
          <w:szCs w:val="22"/>
          <w:lang w:val="es-CO"/>
        </w:rPr>
      </w:pPr>
    </w:p>
    <w:p w14:paraId="4A2D1DAB" w14:textId="6E64A052" w:rsidR="00984276" w:rsidRPr="00B720D8" w:rsidRDefault="00984276" w:rsidP="00AA2C65">
      <w:pPr>
        <w:jc w:val="both"/>
        <w:rPr>
          <w:rFonts w:ascii="Lucida Sans Unicode" w:hAnsi="Lucida Sans Unicode" w:cs="Lucida Sans Unicode"/>
        </w:rPr>
      </w:pPr>
    </w:p>
    <w:p w14:paraId="3FD7F6AC" w14:textId="2B9C4C54" w:rsidR="00984276" w:rsidRPr="00B720D8" w:rsidRDefault="00984276" w:rsidP="00AA2C65">
      <w:pPr>
        <w:jc w:val="both"/>
        <w:rPr>
          <w:rFonts w:ascii="Lucida Sans Unicode" w:hAnsi="Lucida Sans Unicode" w:cs="Lucida Sans Unicode"/>
        </w:rPr>
      </w:pPr>
    </w:p>
    <w:p w14:paraId="5B1EFE3F" w14:textId="1ADF2876" w:rsidR="00984276" w:rsidRPr="00B720D8" w:rsidRDefault="00984276" w:rsidP="00AA2C65">
      <w:pPr>
        <w:jc w:val="both"/>
        <w:rPr>
          <w:rFonts w:ascii="Lucida Sans Unicode" w:hAnsi="Lucida Sans Unicode" w:cs="Lucida Sans Unicode"/>
        </w:rPr>
      </w:pPr>
    </w:p>
    <w:p w14:paraId="4F0CA7F4" w14:textId="2DE47232" w:rsidR="00984276" w:rsidRPr="00B720D8" w:rsidRDefault="00984276" w:rsidP="00AA2C65">
      <w:pPr>
        <w:jc w:val="both"/>
        <w:rPr>
          <w:rFonts w:ascii="Lucida Sans Unicode" w:hAnsi="Lucida Sans Unicode" w:cs="Lucida Sans Unicode"/>
        </w:rPr>
      </w:pPr>
    </w:p>
    <w:p w14:paraId="5395BB05" w14:textId="1DBA5C57" w:rsidR="00984276" w:rsidRPr="00B720D8" w:rsidRDefault="00984276" w:rsidP="00AA2C65">
      <w:pPr>
        <w:jc w:val="both"/>
        <w:rPr>
          <w:rFonts w:ascii="Lucida Sans Unicode" w:hAnsi="Lucida Sans Unicode" w:cs="Lucida Sans Unicode"/>
          <w:b/>
        </w:rPr>
      </w:pPr>
    </w:p>
    <w:p w14:paraId="3F123029" w14:textId="50C1406D" w:rsidR="00663989" w:rsidRPr="00B720D8" w:rsidRDefault="00663989" w:rsidP="00AA2C65">
      <w:pPr>
        <w:jc w:val="both"/>
        <w:rPr>
          <w:rFonts w:ascii="Lucida Sans Unicode" w:hAnsi="Lucida Sans Unicode" w:cs="Lucida Sans Unicode"/>
          <w:b/>
        </w:rPr>
      </w:pPr>
    </w:p>
    <w:p w14:paraId="32347E17" w14:textId="4DD8CA8C" w:rsidR="00984276" w:rsidRPr="00B720D8" w:rsidRDefault="00984276" w:rsidP="00AA2C65">
      <w:pPr>
        <w:jc w:val="both"/>
        <w:rPr>
          <w:rFonts w:ascii="Lucida Sans Unicode" w:hAnsi="Lucida Sans Unicode" w:cs="Lucida Sans Unicode"/>
          <w:b/>
        </w:rPr>
      </w:pPr>
    </w:p>
    <w:p w14:paraId="1529B9C4" w14:textId="028A3664" w:rsidR="00AA2C65" w:rsidRPr="00B720D8" w:rsidRDefault="00AA2C65" w:rsidP="00AA2C65">
      <w:pPr>
        <w:jc w:val="both"/>
        <w:rPr>
          <w:rFonts w:ascii="Lucida Sans Unicode" w:hAnsi="Lucida Sans Unicode" w:cs="Lucida Sans Unicode"/>
          <w:b/>
        </w:rPr>
      </w:pPr>
    </w:p>
    <w:p w14:paraId="11A85B69" w14:textId="7E200550" w:rsidR="00AA2C65" w:rsidRPr="00B720D8" w:rsidRDefault="00AA2C65" w:rsidP="00AA2C65">
      <w:pPr>
        <w:jc w:val="both"/>
        <w:rPr>
          <w:rFonts w:ascii="Lucida Sans Unicode" w:hAnsi="Lucida Sans Unicode" w:cs="Lucida Sans Unicode"/>
          <w:b/>
        </w:rPr>
      </w:pPr>
      <w:r w:rsidRPr="00B720D8">
        <w:rPr>
          <w:rFonts w:ascii="Lucida Sans Unicode" w:hAnsi="Lucida Sans Unicode" w:cs="Lucida Sans Unicode"/>
          <w:noProof/>
          <w:lang w:eastAsia="es-CO"/>
        </w:rPr>
        <w:drawing>
          <wp:anchor distT="0" distB="0" distL="114300" distR="114300" simplePos="0" relativeHeight="251659264" behindDoc="0" locked="0" layoutInCell="1" allowOverlap="1" wp14:anchorId="6D3BC14E" wp14:editId="4524087B">
            <wp:simplePos x="0" y="0"/>
            <wp:positionH relativeFrom="column">
              <wp:posOffset>472440</wp:posOffset>
            </wp:positionH>
            <wp:positionV relativeFrom="paragraph">
              <wp:posOffset>208280</wp:posOffset>
            </wp:positionV>
            <wp:extent cx="4838700" cy="181927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4838700" cy="1819275"/>
                    </a:xfrm>
                    <a:prstGeom prst="rect">
                      <a:avLst/>
                    </a:prstGeom>
                  </pic:spPr>
                </pic:pic>
              </a:graphicData>
            </a:graphic>
            <wp14:sizeRelH relativeFrom="page">
              <wp14:pctWidth>0</wp14:pctWidth>
            </wp14:sizeRelH>
            <wp14:sizeRelV relativeFrom="page">
              <wp14:pctHeight>0</wp14:pctHeight>
            </wp14:sizeRelV>
          </wp:anchor>
        </w:drawing>
      </w:r>
    </w:p>
    <w:p w14:paraId="4B4F2024" w14:textId="3D648E41" w:rsidR="00AA2C65" w:rsidRPr="00B720D8" w:rsidRDefault="00AA2C65" w:rsidP="00AA2C65">
      <w:pPr>
        <w:jc w:val="both"/>
        <w:rPr>
          <w:rFonts w:ascii="Lucida Sans Unicode" w:hAnsi="Lucida Sans Unicode" w:cs="Lucida Sans Unicode"/>
          <w:b/>
        </w:rPr>
      </w:pPr>
    </w:p>
    <w:p w14:paraId="55B2358B" w14:textId="400B6886" w:rsidR="00AA2C65" w:rsidRPr="00B720D8" w:rsidRDefault="00AA2C65" w:rsidP="00AA2C65">
      <w:pPr>
        <w:jc w:val="both"/>
        <w:rPr>
          <w:rFonts w:ascii="Lucida Sans Unicode" w:hAnsi="Lucida Sans Unicode" w:cs="Lucida Sans Unicode"/>
          <w:b/>
        </w:rPr>
      </w:pPr>
    </w:p>
    <w:p w14:paraId="10B5BE51" w14:textId="0DB337BA" w:rsidR="00AA2C65" w:rsidRPr="00B720D8" w:rsidRDefault="00AA2C65" w:rsidP="00AA2C65">
      <w:pPr>
        <w:jc w:val="both"/>
        <w:rPr>
          <w:rFonts w:ascii="Lucida Sans Unicode" w:hAnsi="Lucida Sans Unicode" w:cs="Lucida Sans Unicode"/>
          <w:b/>
        </w:rPr>
      </w:pPr>
    </w:p>
    <w:p w14:paraId="2F6D9F22" w14:textId="3C5B179C" w:rsidR="00AA2C65" w:rsidRPr="00B720D8" w:rsidRDefault="00AA2C65" w:rsidP="00AA2C65">
      <w:pPr>
        <w:jc w:val="both"/>
        <w:rPr>
          <w:rFonts w:ascii="Lucida Sans Unicode" w:hAnsi="Lucida Sans Unicode" w:cs="Lucida Sans Unicode"/>
          <w:b/>
        </w:rPr>
      </w:pPr>
    </w:p>
    <w:p w14:paraId="0DA59810" w14:textId="308670F7" w:rsidR="00AA2C65" w:rsidRPr="00B720D8" w:rsidRDefault="00AA2C65" w:rsidP="00AA2C65">
      <w:pPr>
        <w:jc w:val="both"/>
        <w:rPr>
          <w:rFonts w:ascii="Lucida Sans Unicode" w:hAnsi="Lucida Sans Unicode" w:cs="Lucida Sans Unicode"/>
          <w:b/>
        </w:rPr>
      </w:pPr>
    </w:p>
    <w:p w14:paraId="30A88AF3" w14:textId="77777777" w:rsidR="00AA2C65" w:rsidRPr="00B720D8" w:rsidRDefault="00AA2C65" w:rsidP="00AA2C65">
      <w:pPr>
        <w:jc w:val="both"/>
        <w:rPr>
          <w:rFonts w:ascii="Lucida Sans Unicode" w:hAnsi="Lucida Sans Unicode" w:cs="Lucida Sans Unicode"/>
          <w:b/>
        </w:rPr>
      </w:pPr>
    </w:p>
    <w:p w14:paraId="22D618F1" w14:textId="06A84526" w:rsidR="00984276" w:rsidRPr="00B720D8" w:rsidRDefault="00663989" w:rsidP="00AA2C65">
      <w:pPr>
        <w:jc w:val="center"/>
        <w:rPr>
          <w:rFonts w:ascii="Lucida Sans Unicode" w:hAnsi="Lucida Sans Unicode" w:cs="Lucida Sans Unicode"/>
          <w:b/>
        </w:rPr>
      </w:pPr>
      <w:r w:rsidRPr="00B720D8">
        <w:rPr>
          <w:rFonts w:ascii="Lucida Sans Unicode" w:hAnsi="Lucida Sans Unicode" w:cs="Lucida Sans Unicode"/>
          <w:b/>
        </w:rPr>
        <w:t>PLAN DE TRABAJO DE SEGU</w:t>
      </w:r>
      <w:r w:rsidR="00A16546" w:rsidRPr="00B720D8">
        <w:rPr>
          <w:rFonts w:ascii="Lucida Sans Unicode" w:hAnsi="Lucida Sans Unicode" w:cs="Lucida Sans Unicode"/>
          <w:b/>
        </w:rPr>
        <w:t>RIDAD Y SALUD EN EL TRABAJO 2022</w:t>
      </w:r>
    </w:p>
    <w:p w14:paraId="0A878E33" w14:textId="77777777" w:rsidR="00C019BA" w:rsidRPr="00B720D8" w:rsidRDefault="00C019BA" w:rsidP="00AA2C65">
      <w:pPr>
        <w:jc w:val="center"/>
        <w:rPr>
          <w:rFonts w:ascii="Lucida Sans Unicode" w:hAnsi="Lucida Sans Unicode" w:cs="Lucida Sans Unicode"/>
          <w:b/>
        </w:rPr>
      </w:pPr>
    </w:p>
    <w:p w14:paraId="0D66FA4B" w14:textId="77777777" w:rsidR="00C660B6" w:rsidRPr="00B720D8" w:rsidRDefault="00C660B6" w:rsidP="00AA2C65">
      <w:pPr>
        <w:jc w:val="center"/>
        <w:rPr>
          <w:rFonts w:ascii="Lucida Sans Unicode" w:hAnsi="Lucida Sans Unicode" w:cs="Lucida Sans Unicode"/>
          <w:b/>
        </w:rPr>
      </w:pPr>
    </w:p>
    <w:p w14:paraId="429CD8D3" w14:textId="77777777" w:rsidR="00C660B6" w:rsidRPr="00B720D8" w:rsidRDefault="00C660B6" w:rsidP="00AA2C65">
      <w:pPr>
        <w:jc w:val="both"/>
        <w:rPr>
          <w:rFonts w:ascii="Lucida Sans Unicode" w:hAnsi="Lucida Sans Unicode" w:cs="Lucida Sans Unicode"/>
          <w:b/>
        </w:rPr>
      </w:pPr>
    </w:p>
    <w:p w14:paraId="1636FEBB" w14:textId="77777777" w:rsidR="00C660B6" w:rsidRPr="00B720D8" w:rsidRDefault="00C660B6" w:rsidP="00AA2C65">
      <w:pPr>
        <w:jc w:val="both"/>
        <w:rPr>
          <w:rFonts w:ascii="Lucida Sans Unicode" w:hAnsi="Lucida Sans Unicode" w:cs="Lucida Sans Unicode"/>
          <w:b/>
        </w:rPr>
      </w:pPr>
    </w:p>
    <w:p w14:paraId="56D70ADF" w14:textId="77777777" w:rsidR="00C660B6" w:rsidRPr="00B720D8" w:rsidRDefault="00C660B6" w:rsidP="00AA2C65">
      <w:pPr>
        <w:jc w:val="both"/>
        <w:rPr>
          <w:rFonts w:ascii="Lucida Sans Unicode" w:hAnsi="Lucida Sans Unicode" w:cs="Lucida Sans Unicode"/>
          <w:b/>
        </w:rPr>
      </w:pPr>
    </w:p>
    <w:p w14:paraId="2D7381E6" w14:textId="77777777" w:rsidR="00C660B6" w:rsidRPr="00B720D8" w:rsidRDefault="00C660B6" w:rsidP="00AA2C65">
      <w:pPr>
        <w:jc w:val="both"/>
        <w:rPr>
          <w:rFonts w:ascii="Lucida Sans Unicode" w:hAnsi="Lucida Sans Unicode" w:cs="Lucida Sans Unicode"/>
          <w:b/>
        </w:rPr>
      </w:pPr>
    </w:p>
    <w:p w14:paraId="14425C6A" w14:textId="0407474C" w:rsidR="00E951DD" w:rsidRPr="00B720D8" w:rsidRDefault="00663989" w:rsidP="00AA2C65">
      <w:pPr>
        <w:jc w:val="center"/>
        <w:rPr>
          <w:rFonts w:ascii="Lucida Sans Unicode" w:hAnsi="Lucida Sans Unicode" w:cs="Lucida Sans Unicode"/>
          <w:b/>
        </w:rPr>
      </w:pPr>
      <w:r w:rsidRPr="00B720D8">
        <w:rPr>
          <w:rFonts w:ascii="Lucida Sans Unicode" w:hAnsi="Lucida Sans Unicode" w:cs="Lucida Sans Unicode"/>
          <w:b/>
        </w:rPr>
        <w:t>INTRODUCCIÓN</w:t>
      </w:r>
    </w:p>
    <w:p w14:paraId="5E088A0D" w14:textId="6BC1EA1B" w:rsidR="00E951DD" w:rsidRPr="00B720D8" w:rsidRDefault="00E951DD" w:rsidP="00AA2C65">
      <w:pPr>
        <w:pStyle w:val="Textoindependiente"/>
        <w:jc w:val="center"/>
        <w:rPr>
          <w:rFonts w:ascii="Lucida Sans Unicode" w:hAnsi="Lucida Sans Unicode" w:cs="Lucida Sans Unicode"/>
        </w:rPr>
      </w:pPr>
    </w:p>
    <w:p w14:paraId="38E9C31C" w14:textId="77777777" w:rsidR="00CE04EA" w:rsidRPr="00B720D8" w:rsidRDefault="00CE04EA"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rPr>
        <w:t xml:space="preserve">El Sistema de Gestión de Seguridad y Salud en el Trabajo (SG-SST) se elabora en cumplimiento de lo establecido en la Ley 1562 de 2012, Decreto 1072 de 2015, Resolución 0312 de 2019 y demás normativa legal vigente en el marco del Sistema General de Riesgos Laborales, y debe aprovecharse para dar un impulso decidido a la acción preventiva en el Instituto Nacional para Sordos (INSOR). El SG-SST está basado en el ciclo PHVA (Planear, Hacer, Verificar y Actuar) y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 </w:t>
      </w:r>
    </w:p>
    <w:p w14:paraId="2E359056" w14:textId="77777777" w:rsidR="00CE04EA" w:rsidRPr="00B720D8" w:rsidRDefault="00CE04EA" w:rsidP="00AA2C65">
      <w:pPr>
        <w:pStyle w:val="Textoindependiente"/>
        <w:ind w:left="360"/>
        <w:jc w:val="both"/>
        <w:rPr>
          <w:rFonts w:ascii="Lucida Sans Unicode" w:hAnsi="Lucida Sans Unicode" w:cs="Lucida Sans Unicode"/>
        </w:rPr>
      </w:pPr>
    </w:p>
    <w:p w14:paraId="1EA51256" w14:textId="77777777" w:rsidR="00E11D91" w:rsidRPr="00B720D8" w:rsidRDefault="00CE04EA"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rPr>
        <w:t>Así mismo, el SG-SST, es responsabilidad de todos y cada uno de los servidores públicos, contratistas y trabajadores misionales quienes con su compromiso de autocuidado, autoprotección y el firme apoyo de la Entidad posibilitan la prevención de los riesgos laborales, es decir que propenden por impedir la ocurrencia de accidentes de trabajo, la exposición al factor de riesgo y desarrollo de enfermedades laborales; de igual manera, contribuyen al control total de pérdidas no solamente en su salud, sino sobre el medio ambiente y los activos de la Entidad, sean éstos materiales, equipos,                 instalaciones e incluso procesos, el SG-SST, el cual recoge la estructura organizativa, las responsabilidades, las funciones, las prácticas, los procedimientos, los procesos y los recursos necesarios para realizar acción de Prevención de Riesgos Laborales</w:t>
      </w:r>
      <w:r w:rsidR="00E11D91" w:rsidRPr="00B720D8">
        <w:rPr>
          <w:rFonts w:ascii="Lucida Sans Unicode" w:hAnsi="Lucida Sans Unicode" w:cs="Lucida Sans Unicode"/>
        </w:rPr>
        <w:t>.</w:t>
      </w:r>
    </w:p>
    <w:p w14:paraId="538FE9D3" w14:textId="77777777" w:rsidR="00E11D91" w:rsidRPr="00B720D8" w:rsidRDefault="00E11D91" w:rsidP="00AA2C65">
      <w:pPr>
        <w:pStyle w:val="Textoindependiente"/>
        <w:ind w:left="360"/>
        <w:jc w:val="both"/>
        <w:rPr>
          <w:rFonts w:ascii="Lucida Sans Unicode" w:hAnsi="Lucida Sans Unicode" w:cs="Lucida Sans Unicode"/>
        </w:rPr>
      </w:pPr>
    </w:p>
    <w:p w14:paraId="1DA85D1D" w14:textId="5602A640" w:rsidR="00E11D91" w:rsidRPr="00B720D8" w:rsidRDefault="00E11D91"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rPr>
        <w:t xml:space="preserve">El INSOR, </w:t>
      </w:r>
      <w:r w:rsidR="00CE04EA" w:rsidRPr="00B720D8">
        <w:rPr>
          <w:rFonts w:ascii="Lucida Sans Unicode" w:hAnsi="Lucida Sans Unicode" w:cs="Lucida Sans Unicode"/>
        </w:rPr>
        <w:t>con la finalidad de controlar los riesgos que puedan alterar la salud de sus servidores públicos, contratistas, estudiantes en práctica y e l proceso productivo de conformidad con su responsabilidad moral y legal sobre las condiciones de trabajo y salud de sus servidores públicos, contratistas y estudiantes en práctica como motor del desarrollo económico y social.</w:t>
      </w:r>
    </w:p>
    <w:p w14:paraId="3EB0B86C" w14:textId="77777777" w:rsidR="00E11D91" w:rsidRPr="00B720D8" w:rsidRDefault="00E11D91" w:rsidP="00AA2C65">
      <w:pPr>
        <w:pStyle w:val="Textoindependiente"/>
        <w:ind w:left="360"/>
        <w:jc w:val="both"/>
        <w:rPr>
          <w:rFonts w:ascii="Lucida Sans Unicode" w:hAnsi="Lucida Sans Unicode" w:cs="Lucida Sans Unicode"/>
        </w:rPr>
      </w:pPr>
    </w:p>
    <w:p w14:paraId="28027AFA" w14:textId="004EA6A2" w:rsidR="00E951DD" w:rsidRPr="00B720D8" w:rsidRDefault="00CE04EA"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rPr>
        <w:t xml:space="preserve">Los recursos destinados al SG-SST de la Entidad tendrán el carácter de inversión básica, tendientes a asegurar el bienestar integral de todos los servidores públicos, contratistas y estudiantes en práctica en relación con su trabajo y a proteger a la Entidad contra posibles </w:t>
      </w:r>
      <w:r w:rsidR="00E11D91" w:rsidRPr="00B720D8">
        <w:rPr>
          <w:rFonts w:ascii="Lucida Sans Unicode" w:hAnsi="Lucida Sans Unicode" w:cs="Lucida Sans Unicode"/>
        </w:rPr>
        <w:t xml:space="preserve">pérdidas. </w:t>
      </w:r>
    </w:p>
    <w:p w14:paraId="42FDFFEC" w14:textId="77777777" w:rsidR="00AC2645" w:rsidRPr="00B720D8" w:rsidRDefault="00AC2645" w:rsidP="00AA2C65">
      <w:pPr>
        <w:pStyle w:val="Textoindependiente"/>
        <w:ind w:left="360"/>
        <w:jc w:val="both"/>
        <w:rPr>
          <w:rFonts w:ascii="Lucida Sans Unicode" w:hAnsi="Lucida Sans Unicode" w:cs="Lucida Sans Unicode"/>
          <w:b/>
        </w:rPr>
      </w:pPr>
    </w:p>
    <w:p w14:paraId="6A8AF5A3" w14:textId="77777777" w:rsidR="00AA2C65" w:rsidRPr="00B720D8" w:rsidRDefault="00AA2C65" w:rsidP="00AA2C65">
      <w:pPr>
        <w:pStyle w:val="Textoindependiente"/>
        <w:ind w:left="360"/>
        <w:jc w:val="both"/>
        <w:rPr>
          <w:rFonts w:ascii="Lucida Sans Unicode" w:hAnsi="Lucida Sans Unicode" w:cs="Lucida Sans Unicode"/>
          <w:b/>
        </w:rPr>
      </w:pPr>
    </w:p>
    <w:p w14:paraId="023495C7" w14:textId="718A87DC" w:rsidR="00E951DD" w:rsidRPr="00B720D8" w:rsidRDefault="00AC2645" w:rsidP="00AA2C65">
      <w:pPr>
        <w:pStyle w:val="Textoindependiente"/>
        <w:ind w:left="360"/>
        <w:jc w:val="center"/>
        <w:rPr>
          <w:rFonts w:ascii="Lucida Sans Unicode" w:hAnsi="Lucida Sans Unicode" w:cs="Lucida Sans Unicode"/>
          <w:b/>
        </w:rPr>
      </w:pPr>
      <w:r w:rsidRPr="00B720D8">
        <w:rPr>
          <w:rFonts w:ascii="Lucida Sans Unicode" w:hAnsi="Lucida Sans Unicode" w:cs="Lucida Sans Unicode"/>
          <w:b/>
        </w:rPr>
        <w:t>OBJETIVO</w:t>
      </w:r>
    </w:p>
    <w:p w14:paraId="06E8D777" w14:textId="77777777" w:rsidR="00AC2645" w:rsidRPr="00B720D8" w:rsidRDefault="00AC2645" w:rsidP="00AA2C65">
      <w:pPr>
        <w:pStyle w:val="Textoindependiente"/>
        <w:jc w:val="both"/>
        <w:rPr>
          <w:rFonts w:ascii="Lucida Sans Unicode" w:hAnsi="Lucida Sans Unicode" w:cs="Lucida Sans Unicode"/>
        </w:rPr>
      </w:pPr>
    </w:p>
    <w:p w14:paraId="00C84A94" w14:textId="581E2037" w:rsidR="00E11D91" w:rsidRPr="00B720D8" w:rsidRDefault="00E11D91"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rPr>
        <w:t>Implementar el Sistema de Gestión en Seguridad y Salud en el Trabajo en el INSOR, a través del diseño de estrategias para el cumplimento de los estándares mínimos, con el fin de controlar y reducir los accidentes de trabajo, enfermedades laborales y ausentismo que puedan afectar el desempeño de nuestros servidores públicos, contrat</w:t>
      </w:r>
      <w:r w:rsidR="00FF5DEE" w:rsidRPr="00B720D8">
        <w:rPr>
          <w:rFonts w:ascii="Lucida Sans Unicode" w:hAnsi="Lucida Sans Unicode" w:cs="Lucida Sans Unicode"/>
        </w:rPr>
        <w:t>istas en:</w:t>
      </w:r>
    </w:p>
    <w:p w14:paraId="39A46EEE" w14:textId="4600D103" w:rsidR="00E11D91" w:rsidRPr="00B720D8" w:rsidRDefault="00E11D91" w:rsidP="00AA2C65">
      <w:pPr>
        <w:pStyle w:val="Textoindependiente"/>
        <w:jc w:val="both"/>
        <w:rPr>
          <w:rFonts w:ascii="Lucida Sans Unicode" w:hAnsi="Lucida Sans Unicode" w:cs="Lucida Sans Unicode"/>
        </w:rPr>
      </w:pPr>
    </w:p>
    <w:p w14:paraId="4EE9E68D" w14:textId="1E3FD43B" w:rsidR="00E11D91" w:rsidRPr="00B720D8" w:rsidRDefault="00E11D91" w:rsidP="00AA2C65">
      <w:pPr>
        <w:pStyle w:val="Textoindependiente"/>
        <w:ind w:left="360"/>
        <w:jc w:val="center"/>
        <w:rPr>
          <w:rFonts w:ascii="Lucida Sans Unicode" w:hAnsi="Lucida Sans Unicode" w:cs="Lucida Sans Unicode"/>
          <w:b/>
        </w:rPr>
      </w:pPr>
      <w:r w:rsidRPr="00B720D8">
        <w:rPr>
          <w:rFonts w:ascii="Lucida Sans Unicode" w:hAnsi="Lucida Sans Unicode" w:cs="Lucida Sans Unicode"/>
          <w:b/>
        </w:rPr>
        <w:t>NORMATIVIDAD</w:t>
      </w:r>
    </w:p>
    <w:p w14:paraId="7735F0D8" w14:textId="77777777" w:rsidR="00E11D91" w:rsidRPr="00B720D8" w:rsidRDefault="00E11D91" w:rsidP="00AA2C65">
      <w:pPr>
        <w:pStyle w:val="Textoindependiente"/>
        <w:ind w:left="360"/>
        <w:jc w:val="center"/>
        <w:rPr>
          <w:rFonts w:ascii="Lucida Sans Unicode" w:hAnsi="Lucida Sans Unicode" w:cs="Lucida Sans Unicode"/>
        </w:rPr>
      </w:pPr>
    </w:p>
    <w:p w14:paraId="7CE1027A" w14:textId="77777777" w:rsidR="00E11D91" w:rsidRPr="00B720D8" w:rsidRDefault="00E11D91"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b/>
        </w:rPr>
        <w:t>Decreto Ley 1295 de 1994</w:t>
      </w:r>
      <w:r w:rsidRPr="00B720D8">
        <w:rPr>
          <w:rFonts w:ascii="Lucida Sans Unicode" w:hAnsi="Lucida Sans Unicode" w:cs="Lucida Sans Unicode"/>
        </w:rPr>
        <w:t>: Por el cual se determina la organización y administración del Sistema General de Riesgos Profesionales.</w:t>
      </w:r>
    </w:p>
    <w:p w14:paraId="73EF2502" w14:textId="77777777" w:rsidR="00E11D91" w:rsidRPr="00B720D8" w:rsidRDefault="00E11D91"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b/>
        </w:rPr>
        <w:t>Ley 1562 de 2012</w:t>
      </w:r>
      <w:r w:rsidRPr="00B720D8">
        <w:rPr>
          <w:rFonts w:ascii="Lucida Sans Unicode" w:hAnsi="Lucida Sans Unicode" w:cs="Lucida Sans Unicode"/>
        </w:rPr>
        <w:t xml:space="preserve"> Por la cual se modifica el sistema de riesgos laborales y se dictan otras disposiciones en materia de salud ocupacional. </w:t>
      </w:r>
    </w:p>
    <w:p w14:paraId="59CC2339" w14:textId="76178C95" w:rsidR="00E11D91" w:rsidRPr="00B720D8" w:rsidRDefault="00E11D91"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b/>
        </w:rPr>
        <w:t>Decreto 1072 de 2015</w:t>
      </w:r>
      <w:r w:rsidRPr="00B720D8">
        <w:rPr>
          <w:rFonts w:ascii="Lucida Sans Unicode" w:hAnsi="Lucida Sans Unicode" w:cs="Lucida Sans Unicode"/>
        </w:rPr>
        <w:t xml:space="preserve">: Por medio del cual se expide el Decreto </w:t>
      </w:r>
      <w:r w:rsidR="00FF5DEE" w:rsidRPr="00B720D8">
        <w:rPr>
          <w:rFonts w:ascii="Lucida Sans Unicode" w:hAnsi="Lucida Sans Unicode" w:cs="Lucida Sans Unicode"/>
        </w:rPr>
        <w:t>Único</w:t>
      </w:r>
      <w:r w:rsidRPr="00B720D8">
        <w:rPr>
          <w:rFonts w:ascii="Lucida Sans Unicode" w:hAnsi="Lucida Sans Unicode" w:cs="Lucida Sans Unicode"/>
        </w:rPr>
        <w:t xml:space="preserve"> Reglamentario del Sector Trabajo. </w:t>
      </w:r>
    </w:p>
    <w:p w14:paraId="34C17C1D" w14:textId="0BEC24BE" w:rsidR="00AC2645" w:rsidRDefault="00E11D91" w:rsidP="00AA2C65">
      <w:pPr>
        <w:pStyle w:val="Textoindependiente"/>
        <w:ind w:left="360"/>
        <w:jc w:val="both"/>
        <w:rPr>
          <w:rFonts w:ascii="Lucida Sans Unicode" w:hAnsi="Lucida Sans Unicode" w:cs="Lucida Sans Unicode"/>
        </w:rPr>
      </w:pPr>
      <w:r w:rsidRPr="00B720D8">
        <w:rPr>
          <w:rFonts w:ascii="Lucida Sans Unicode" w:hAnsi="Lucida Sans Unicode" w:cs="Lucida Sans Unicode"/>
          <w:b/>
        </w:rPr>
        <w:t>Resolución 0312 de 2019</w:t>
      </w:r>
      <w:r w:rsidRPr="00B720D8">
        <w:rPr>
          <w:rFonts w:ascii="Lucida Sans Unicode" w:hAnsi="Lucida Sans Unicode" w:cs="Lucida Sans Unicode"/>
        </w:rPr>
        <w:t xml:space="preserve"> Por la cual se definen los Estándares Mínimos del Sistema de Gestión de la Seguridad y Salud en el Trabajo SG-SST. Resolución 777 de 2021 Por medio de la cual se adopta el protocolo de bioseguridad, para mitigar, controlar y realizar el adecuado manejo de la pan</w:t>
      </w:r>
      <w:r w:rsidR="00FF5DEE" w:rsidRPr="00B720D8">
        <w:rPr>
          <w:rFonts w:ascii="Lucida Sans Unicode" w:hAnsi="Lucida Sans Unicode" w:cs="Lucida Sans Unicode"/>
        </w:rPr>
        <w:t xml:space="preserve">demia del Coronavirus COVID-19 y o/la que se encuentre vigente para el manejo de la pandemia emitida por el </w:t>
      </w:r>
      <w:r w:rsidRPr="00B720D8">
        <w:rPr>
          <w:rFonts w:ascii="Lucida Sans Unicode" w:hAnsi="Lucida Sans Unicode" w:cs="Lucida Sans Unicode"/>
        </w:rPr>
        <w:t>Ministerio de Salud y Protección Social.</w:t>
      </w:r>
    </w:p>
    <w:p w14:paraId="7D4A3ED9" w14:textId="2F22372C" w:rsidR="00B720D8" w:rsidRDefault="00B720D8" w:rsidP="00AA2C65">
      <w:pPr>
        <w:pStyle w:val="Textoindependiente"/>
        <w:ind w:left="360"/>
        <w:jc w:val="both"/>
        <w:rPr>
          <w:rFonts w:ascii="Lucida Sans Unicode" w:hAnsi="Lucida Sans Unicode" w:cs="Lucida Sans Unicode"/>
        </w:rPr>
      </w:pPr>
    </w:p>
    <w:p w14:paraId="4EAB524C" w14:textId="33E81A7D" w:rsidR="00B720D8" w:rsidRDefault="00B720D8" w:rsidP="00AA2C65">
      <w:pPr>
        <w:pStyle w:val="Textoindependiente"/>
        <w:ind w:left="360"/>
        <w:jc w:val="both"/>
        <w:rPr>
          <w:rFonts w:ascii="Lucida Sans Unicode" w:hAnsi="Lucida Sans Unicode" w:cs="Lucida Sans Unicode"/>
        </w:rPr>
      </w:pPr>
    </w:p>
    <w:p w14:paraId="6A4D0932" w14:textId="0E83F994" w:rsidR="00B720D8" w:rsidRDefault="00B720D8" w:rsidP="00AA2C65">
      <w:pPr>
        <w:pStyle w:val="Textoindependiente"/>
        <w:ind w:left="360"/>
        <w:jc w:val="both"/>
        <w:rPr>
          <w:rFonts w:ascii="Lucida Sans Unicode" w:hAnsi="Lucida Sans Unicode" w:cs="Lucida Sans Unicode"/>
        </w:rPr>
      </w:pPr>
    </w:p>
    <w:p w14:paraId="780A5DCE" w14:textId="77777777" w:rsidR="00B720D8" w:rsidRPr="00B720D8" w:rsidRDefault="00B720D8" w:rsidP="00AA2C65">
      <w:pPr>
        <w:pStyle w:val="Textoindependiente"/>
        <w:ind w:left="360"/>
        <w:jc w:val="both"/>
        <w:rPr>
          <w:rFonts w:ascii="Lucida Sans Unicode" w:hAnsi="Lucida Sans Unicode" w:cs="Lucida Sans Unicode"/>
        </w:rPr>
      </w:pPr>
    </w:p>
    <w:p w14:paraId="7DC328B7" w14:textId="77777777" w:rsidR="00AC2645" w:rsidRPr="00B720D8" w:rsidRDefault="00AC2645" w:rsidP="00AA2C65">
      <w:pPr>
        <w:pStyle w:val="Textoindependiente"/>
        <w:ind w:left="360"/>
        <w:jc w:val="both"/>
        <w:rPr>
          <w:rFonts w:ascii="Lucida Sans Unicode" w:hAnsi="Lucida Sans Unicode" w:cs="Lucida Sans Unicode"/>
        </w:rPr>
      </w:pPr>
    </w:p>
    <w:p w14:paraId="5B2F8ED7" w14:textId="47FD65EE" w:rsidR="00C74679" w:rsidRPr="00B720D8" w:rsidRDefault="006038B7" w:rsidP="00AA2C65">
      <w:pPr>
        <w:jc w:val="center"/>
        <w:rPr>
          <w:rFonts w:ascii="Lucida Sans Unicode" w:hAnsi="Lucida Sans Unicode" w:cs="Lucida Sans Unicode"/>
          <w:b/>
          <w:lang w:val="es-ES"/>
        </w:rPr>
      </w:pPr>
      <w:r w:rsidRPr="00B720D8">
        <w:rPr>
          <w:rFonts w:ascii="Lucida Sans Unicode" w:eastAsia="Verdana" w:hAnsi="Lucida Sans Unicode" w:cs="Lucida Sans Unicode"/>
          <w:b/>
          <w:lang w:val="es-ES" w:eastAsia="es-ES" w:bidi="es-ES"/>
        </w:rPr>
        <w:t>POLÍTICA SISTEMA INTEGRADO</w:t>
      </w:r>
    </w:p>
    <w:p w14:paraId="64A6F113" w14:textId="77777777" w:rsidR="00454E61" w:rsidRPr="00B720D8" w:rsidRDefault="00454E61" w:rsidP="00AA2C65">
      <w:pPr>
        <w:jc w:val="center"/>
        <w:rPr>
          <w:rFonts w:ascii="Lucida Sans Unicode" w:hAnsi="Lucida Sans Unicode" w:cs="Lucida Sans Unicode"/>
          <w:b/>
          <w:lang w:val="es-ES"/>
        </w:rPr>
      </w:pPr>
    </w:p>
    <w:p w14:paraId="73CF35B4" w14:textId="77777777" w:rsidR="00C74679" w:rsidRPr="00B720D8" w:rsidRDefault="00C74679" w:rsidP="00AA2C65">
      <w:pPr>
        <w:pStyle w:val="Sinespaciado"/>
        <w:jc w:val="center"/>
        <w:rPr>
          <w:rFonts w:ascii="Lucida Sans Unicode" w:eastAsia="Agency FB" w:hAnsi="Lucida Sans Unicode" w:cs="Lucida Sans Unicode"/>
        </w:rPr>
      </w:pPr>
    </w:p>
    <w:p w14:paraId="1DCC1A9E" w14:textId="77777777" w:rsidR="00B659AB" w:rsidRPr="00B720D8" w:rsidRDefault="00B659AB" w:rsidP="00AA2C65">
      <w:pPr>
        <w:tabs>
          <w:tab w:val="num" w:pos="426"/>
        </w:tabs>
        <w:jc w:val="both"/>
        <w:rPr>
          <w:rFonts w:ascii="Lucida Sans Unicode" w:hAnsi="Lucida Sans Unicode" w:cs="Lucida Sans Unicode"/>
        </w:rPr>
      </w:pPr>
      <w:r w:rsidRPr="00B720D8">
        <w:rPr>
          <w:rFonts w:ascii="Lucida Sans Unicode" w:hAnsi="Lucida Sans Unicode" w:cs="Lucida Sans Unicode"/>
        </w:rPr>
        <w:t>El Instituto Nacional para Sordos tiene como objeto promover, desde el sector educativo, el desarrollo e implementación de política pública para la inclusión social de la población sorda.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 preservación y seguridad de sus activos de información y adoptar buenas prácticas para la protección del medio ambiente.</w:t>
      </w:r>
    </w:p>
    <w:p w14:paraId="3A25D75F" w14:textId="77777777" w:rsidR="00B659AB" w:rsidRPr="00B720D8" w:rsidRDefault="00B659AB" w:rsidP="00AA2C65">
      <w:pPr>
        <w:tabs>
          <w:tab w:val="num" w:pos="426"/>
        </w:tabs>
        <w:jc w:val="both"/>
        <w:rPr>
          <w:rFonts w:ascii="Lucida Sans Unicode" w:hAnsi="Lucida Sans Unicode" w:cs="Lucida Sans Unicode"/>
        </w:rPr>
      </w:pPr>
    </w:p>
    <w:p w14:paraId="58C42549" w14:textId="77777777" w:rsidR="00B659AB" w:rsidRPr="00B720D8" w:rsidRDefault="00B659AB" w:rsidP="00AA2C65">
      <w:pPr>
        <w:tabs>
          <w:tab w:val="num" w:pos="426"/>
        </w:tabs>
        <w:jc w:val="both"/>
        <w:rPr>
          <w:rFonts w:ascii="Lucida Sans Unicode" w:hAnsi="Lucida Sans Unicode" w:cs="Lucida Sans Unicode"/>
        </w:rPr>
      </w:pPr>
      <w:r w:rsidRPr="00B720D8">
        <w:rPr>
          <w:rFonts w:ascii="Lucida Sans Unicode" w:hAnsi="Lucida Sans Unicode" w:cs="Lucida Sans Unicode"/>
        </w:rPr>
        <w:t>Para dar cumplimiento a lo anterior, se establecen los siguientes objetivos:</w:t>
      </w:r>
    </w:p>
    <w:p w14:paraId="1B9A8E78" w14:textId="77777777" w:rsidR="00B659AB" w:rsidRPr="00B720D8" w:rsidRDefault="00B659AB" w:rsidP="00AA2C65">
      <w:pPr>
        <w:tabs>
          <w:tab w:val="num" w:pos="426"/>
        </w:tabs>
        <w:jc w:val="both"/>
        <w:rPr>
          <w:rFonts w:ascii="Lucida Sans Unicode" w:hAnsi="Lucida Sans Unicode" w:cs="Lucida Sans Unicode"/>
        </w:rPr>
      </w:pPr>
    </w:p>
    <w:p w14:paraId="77D7502F" w14:textId="368E01CE" w:rsidR="00B659AB" w:rsidRPr="00B720D8" w:rsidRDefault="00B659AB" w:rsidP="00AA2C65">
      <w:pPr>
        <w:pStyle w:val="Prrafodelista"/>
        <w:numPr>
          <w:ilvl w:val="0"/>
          <w:numId w:val="28"/>
        </w:numPr>
        <w:tabs>
          <w:tab w:val="num" w:pos="284"/>
        </w:tabs>
        <w:jc w:val="both"/>
        <w:rPr>
          <w:rFonts w:ascii="Lucida Sans Unicode" w:hAnsi="Lucida Sans Unicode" w:cs="Lucida Sans Unicode"/>
        </w:rPr>
      </w:pPr>
      <w:r w:rsidRPr="00B720D8">
        <w:rPr>
          <w:rFonts w:ascii="Lucida Sans Unicode" w:hAnsi="Lucida Sans Unicode" w:cs="Lucida Sans Unicode"/>
        </w:rPr>
        <w:t xml:space="preserve">Revisar periódicamente el sistema de gestión integral, basados en la metodología de mejora continua. </w:t>
      </w:r>
    </w:p>
    <w:p w14:paraId="00E7FCA7" w14:textId="77777777" w:rsidR="00FF5DEE" w:rsidRPr="00B720D8" w:rsidRDefault="00FF5DEE" w:rsidP="00AA2C65">
      <w:pPr>
        <w:pStyle w:val="Prrafodelista"/>
        <w:tabs>
          <w:tab w:val="num" w:pos="284"/>
        </w:tabs>
        <w:jc w:val="both"/>
        <w:rPr>
          <w:rFonts w:ascii="Lucida Sans Unicode" w:hAnsi="Lucida Sans Unicode" w:cs="Lucida Sans Unicode"/>
        </w:rPr>
      </w:pPr>
    </w:p>
    <w:p w14:paraId="7C17A962" w14:textId="3C2D147A" w:rsidR="00B659AB" w:rsidRPr="00B720D8" w:rsidRDefault="00B659AB" w:rsidP="00AA2C65">
      <w:pPr>
        <w:pStyle w:val="Prrafodelista"/>
        <w:numPr>
          <w:ilvl w:val="0"/>
          <w:numId w:val="28"/>
        </w:numPr>
        <w:tabs>
          <w:tab w:val="num" w:pos="426"/>
        </w:tabs>
        <w:jc w:val="both"/>
        <w:rPr>
          <w:rFonts w:ascii="Lucida Sans Unicode" w:hAnsi="Lucida Sans Unicode" w:cs="Lucida Sans Unicode"/>
        </w:rPr>
      </w:pPr>
      <w:r w:rsidRPr="00B720D8">
        <w:rPr>
          <w:rFonts w:ascii="Lucida Sans Unicode" w:hAnsi="Lucida Sans Unicode" w:cs="Lucida Sans Unicode"/>
        </w:rPr>
        <w:t>Administrar y conservar la documentación producida por la entidad, aplicando los instrumentos archivísticos incluidos en la normativa vigente.</w:t>
      </w:r>
    </w:p>
    <w:p w14:paraId="7512F0C8" w14:textId="77777777" w:rsidR="00FF5DEE" w:rsidRPr="00B720D8" w:rsidRDefault="00FF5DEE" w:rsidP="00AA2C65">
      <w:pPr>
        <w:pStyle w:val="Prrafodelista"/>
        <w:jc w:val="both"/>
        <w:rPr>
          <w:rFonts w:ascii="Lucida Sans Unicode" w:hAnsi="Lucida Sans Unicode" w:cs="Lucida Sans Unicode"/>
        </w:rPr>
      </w:pPr>
    </w:p>
    <w:p w14:paraId="287755C0" w14:textId="77777777" w:rsidR="00FF5DEE" w:rsidRPr="00B720D8" w:rsidRDefault="00FF5DEE" w:rsidP="00AA2C65">
      <w:pPr>
        <w:pStyle w:val="Prrafodelista"/>
        <w:jc w:val="both"/>
        <w:rPr>
          <w:rFonts w:ascii="Lucida Sans Unicode" w:hAnsi="Lucida Sans Unicode" w:cs="Lucida Sans Unicode"/>
        </w:rPr>
      </w:pPr>
    </w:p>
    <w:p w14:paraId="34DF9B65" w14:textId="77777777" w:rsidR="00FF5DEE" w:rsidRPr="00B720D8" w:rsidRDefault="00FF5DEE" w:rsidP="00AA2C65">
      <w:pPr>
        <w:pStyle w:val="Textoindependiente"/>
        <w:numPr>
          <w:ilvl w:val="0"/>
          <w:numId w:val="28"/>
        </w:numPr>
        <w:jc w:val="both"/>
        <w:rPr>
          <w:rFonts w:ascii="Lucida Sans Unicode" w:hAnsi="Lucida Sans Unicode" w:cs="Lucida Sans Unicode"/>
        </w:rPr>
      </w:pPr>
      <w:r w:rsidRPr="00B720D8">
        <w:rPr>
          <w:rFonts w:ascii="Lucida Sans Unicode" w:hAnsi="Lucida Sans Unicode" w:cs="Lucida Sans Unicode"/>
        </w:rPr>
        <w:t xml:space="preserve">Capacitar y entrenar a los destinatarios del sistema en la ejecución eficiente y responsable de sus funciones y obligaciones, en un marco de autocuidado y autoprotección en las dinámicas presenciales y del trabajo en casa. </w:t>
      </w:r>
    </w:p>
    <w:p w14:paraId="01594098" w14:textId="77777777" w:rsidR="00FF5DEE" w:rsidRPr="00B720D8" w:rsidRDefault="00FF5DEE" w:rsidP="00AA2C65">
      <w:pPr>
        <w:pStyle w:val="Textoindependiente"/>
        <w:ind w:left="360"/>
        <w:jc w:val="both"/>
        <w:rPr>
          <w:rFonts w:ascii="Lucida Sans Unicode" w:hAnsi="Lucida Sans Unicode" w:cs="Lucida Sans Unicode"/>
        </w:rPr>
      </w:pPr>
    </w:p>
    <w:p w14:paraId="580FC4F5" w14:textId="42C2F628" w:rsidR="00FF5DEE" w:rsidRPr="00B720D8" w:rsidRDefault="00FF5DEE" w:rsidP="00AA2C65">
      <w:pPr>
        <w:pStyle w:val="Textoindependiente"/>
        <w:numPr>
          <w:ilvl w:val="0"/>
          <w:numId w:val="28"/>
        </w:numPr>
        <w:jc w:val="both"/>
        <w:rPr>
          <w:rFonts w:ascii="Lucida Sans Unicode" w:hAnsi="Lucida Sans Unicode" w:cs="Lucida Sans Unicode"/>
        </w:rPr>
      </w:pPr>
      <w:r w:rsidRPr="00B720D8">
        <w:rPr>
          <w:rFonts w:ascii="Lucida Sans Unicode" w:hAnsi="Lucida Sans Unicode" w:cs="Lucida Sans Unicode"/>
        </w:rPr>
        <w:t xml:space="preserve">Promover la identificación continua de peligros y amenazas, evaluar y valorar los riesgos y vulnerabilidades para la determinación de controles a fin de mitigar los impactos reales y potenciales en situaciones generadoras de incidentalidad y emergencias en las dinámicas presenciales y del trabajo en casa. </w:t>
      </w:r>
    </w:p>
    <w:p w14:paraId="4C6A2F7A" w14:textId="69C17157" w:rsidR="00C66D60" w:rsidRPr="00B720D8" w:rsidRDefault="00C66D60" w:rsidP="00AA2C65">
      <w:pPr>
        <w:pStyle w:val="Textoindependiente"/>
        <w:jc w:val="both"/>
        <w:rPr>
          <w:rFonts w:ascii="Lucida Sans Unicode" w:hAnsi="Lucida Sans Unicode" w:cs="Lucida Sans Unicode"/>
        </w:rPr>
      </w:pPr>
    </w:p>
    <w:p w14:paraId="7003DE9E" w14:textId="77777777" w:rsidR="00FF5DEE" w:rsidRPr="00B720D8" w:rsidRDefault="00FF5DEE" w:rsidP="00AA2C65">
      <w:pPr>
        <w:pStyle w:val="Textoindependiente"/>
        <w:numPr>
          <w:ilvl w:val="0"/>
          <w:numId w:val="28"/>
        </w:numPr>
        <w:jc w:val="both"/>
        <w:rPr>
          <w:rFonts w:ascii="Lucida Sans Unicode" w:hAnsi="Lucida Sans Unicode" w:cs="Lucida Sans Unicode"/>
        </w:rPr>
      </w:pPr>
      <w:r w:rsidRPr="00B720D8">
        <w:rPr>
          <w:rFonts w:ascii="Lucida Sans Unicode" w:hAnsi="Lucida Sans Unicode" w:cs="Lucida Sans Unicode"/>
        </w:rPr>
        <w:t xml:space="preserve">Desarrollar programas de prevención de enfermedades laborales y promoción de la salud a través de la gestión del riesgo prioritario en los cuales, se fomenten los Estilos de Vida Sana y Trabajo Saludable para mejorar las condiciones de trabajo y de salud de los destinatarios del sistema. </w:t>
      </w:r>
    </w:p>
    <w:p w14:paraId="5F80431D" w14:textId="77777777" w:rsidR="00FF5DEE" w:rsidRPr="00B720D8" w:rsidRDefault="00FF5DEE" w:rsidP="00AA2C65">
      <w:pPr>
        <w:pStyle w:val="Textoindependiente"/>
        <w:ind w:left="360"/>
        <w:jc w:val="both"/>
        <w:rPr>
          <w:rFonts w:ascii="Lucida Sans Unicode" w:hAnsi="Lucida Sans Unicode" w:cs="Lucida Sans Unicode"/>
        </w:rPr>
      </w:pPr>
    </w:p>
    <w:p w14:paraId="569BA925" w14:textId="77777777" w:rsidR="00FF5DEE" w:rsidRPr="00B720D8" w:rsidRDefault="00FF5DEE" w:rsidP="00AA2C65">
      <w:pPr>
        <w:pStyle w:val="Textoindependiente"/>
        <w:numPr>
          <w:ilvl w:val="0"/>
          <w:numId w:val="28"/>
        </w:numPr>
        <w:jc w:val="both"/>
        <w:rPr>
          <w:rFonts w:ascii="Lucida Sans Unicode" w:hAnsi="Lucida Sans Unicode" w:cs="Lucida Sans Unicode"/>
        </w:rPr>
      </w:pPr>
      <w:r w:rsidRPr="00B720D8">
        <w:rPr>
          <w:rFonts w:ascii="Lucida Sans Unicode" w:hAnsi="Lucida Sans Unicode" w:cs="Lucida Sans Unicode"/>
        </w:rPr>
        <w:t xml:space="preserve">Adoptar, adaptar e implementar los Protocolos de Bioseguridad para mitigar la propagación y contagio de los destinatarios del sistema del nuevo Coronavirus COVID-19 en las dinámicas presenciales y del trabajo en casa. </w:t>
      </w:r>
    </w:p>
    <w:p w14:paraId="2CB4C2B7" w14:textId="77777777" w:rsidR="00FF5DEE" w:rsidRPr="00B720D8" w:rsidRDefault="00FF5DEE" w:rsidP="00AA2C65">
      <w:pPr>
        <w:pStyle w:val="Textoindependiente"/>
        <w:ind w:left="360"/>
        <w:jc w:val="both"/>
        <w:rPr>
          <w:rFonts w:ascii="Lucida Sans Unicode" w:hAnsi="Lucida Sans Unicode" w:cs="Lucida Sans Unicode"/>
        </w:rPr>
      </w:pPr>
    </w:p>
    <w:p w14:paraId="2D9EAAE4" w14:textId="77777777" w:rsidR="00FF5DEE" w:rsidRPr="00B720D8" w:rsidRDefault="00FF5DEE" w:rsidP="00AA2C65">
      <w:pPr>
        <w:pStyle w:val="Textoindependiente"/>
        <w:numPr>
          <w:ilvl w:val="0"/>
          <w:numId w:val="28"/>
        </w:numPr>
        <w:jc w:val="both"/>
        <w:rPr>
          <w:rFonts w:ascii="Lucida Sans Unicode" w:hAnsi="Lucida Sans Unicode" w:cs="Lucida Sans Unicode"/>
        </w:rPr>
      </w:pPr>
      <w:r w:rsidRPr="00B720D8">
        <w:rPr>
          <w:rFonts w:ascii="Lucida Sans Unicode" w:hAnsi="Lucida Sans Unicode" w:cs="Lucida Sans Unicode"/>
        </w:rPr>
        <w:t xml:space="preserve">Evaluar el desempeño de los proveedores y contratistas que afectan el Sistema de Gestión de Seguridad y Salud en el Trabajo. </w:t>
      </w:r>
    </w:p>
    <w:p w14:paraId="3B0EC073" w14:textId="77777777" w:rsidR="00FF5DEE" w:rsidRPr="00B720D8" w:rsidRDefault="00FF5DEE" w:rsidP="00AA2C65">
      <w:pPr>
        <w:pStyle w:val="Textoindependiente"/>
        <w:ind w:left="360"/>
        <w:jc w:val="both"/>
        <w:rPr>
          <w:rFonts w:ascii="Lucida Sans Unicode" w:hAnsi="Lucida Sans Unicode" w:cs="Lucida Sans Unicode"/>
        </w:rPr>
      </w:pPr>
    </w:p>
    <w:p w14:paraId="3FF9CA87" w14:textId="77777777" w:rsidR="00FF5DEE" w:rsidRPr="00B720D8" w:rsidRDefault="00FF5DEE" w:rsidP="00AA2C65">
      <w:pPr>
        <w:pStyle w:val="Textoindependiente"/>
        <w:numPr>
          <w:ilvl w:val="0"/>
          <w:numId w:val="28"/>
        </w:numPr>
        <w:jc w:val="both"/>
        <w:rPr>
          <w:rFonts w:ascii="Lucida Sans Unicode" w:hAnsi="Lucida Sans Unicode" w:cs="Lucida Sans Unicode"/>
        </w:rPr>
      </w:pPr>
      <w:r w:rsidRPr="00B720D8">
        <w:rPr>
          <w:rFonts w:ascii="Lucida Sans Unicode" w:hAnsi="Lucida Sans Unicode" w:cs="Lucida Sans Unicode"/>
        </w:rPr>
        <w:t>Garantizar los procesos de rendición de cuentas y revisión por la alta dirección sobre seguridad y salud en el trabajo a efectos de desarrollar acciones de mejoramiento continuo del sistema.</w:t>
      </w:r>
    </w:p>
    <w:p w14:paraId="6F23779B" w14:textId="77777777" w:rsidR="00FF5DEE" w:rsidRPr="00B720D8" w:rsidRDefault="00FF5DEE" w:rsidP="00AA2C65">
      <w:pPr>
        <w:pStyle w:val="Prrafodelista"/>
        <w:tabs>
          <w:tab w:val="num" w:pos="426"/>
        </w:tabs>
        <w:jc w:val="both"/>
        <w:rPr>
          <w:rFonts w:ascii="Lucida Sans Unicode" w:hAnsi="Lucida Sans Unicode" w:cs="Lucida Sans Unicode"/>
        </w:rPr>
      </w:pPr>
    </w:p>
    <w:p w14:paraId="1DDC49ED" w14:textId="3CCF8358" w:rsidR="00B659AB" w:rsidRPr="00B720D8" w:rsidRDefault="00B659AB" w:rsidP="00AA2C65">
      <w:pPr>
        <w:pStyle w:val="Prrafodelista"/>
        <w:numPr>
          <w:ilvl w:val="0"/>
          <w:numId w:val="28"/>
        </w:numPr>
        <w:tabs>
          <w:tab w:val="num" w:pos="426"/>
        </w:tabs>
        <w:jc w:val="both"/>
        <w:rPr>
          <w:rFonts w:ascii="Lucida Sans Unicode" w:hAnsi="Lucida Sans Unicode" w:cs="Lucida Sans Unicode"/>
        </w:rPr>
      </w:pPr>
      <w:r w:rsidRPr="00B720D8">
        <w:rPr>
          <w:rFonts w:ascii="Lucida Sans Unicode" w:hAnsi="Lucida Sans Unicode" w:cs="Lucida Sans Unicode"/>
        </w:rPr>
        <w:t>Implementar y mantener medidas tendientes para garantizar el no consumo de alcohol, tabaco y sustancias psicoactivas e ilegales.</w:t>
      </w:r>
    </w:p>
    <w:p w14:paraId="3A0567E7" w14:textId="77777777" w:rsidR="00C66D60" w:rsidRPr="00B720D8" w:rsidRDefault="00C66D60" w:rsidP="00AA2C65">
      <w:pPr>
        <w:pStyle w:val="Prrafodelista"/>
        <w:jc w:val="both"/>
        <w:rPr>
          <w:rFonts w:ascii="Lucida Sans Unicode" w:hAnsi="Lucida Sans Unicode" w:cs="Lucida Sans Unicode"/>
        </w:rPr>
      </w:pPr>
    </w:p>
    <w:p w14:paraId="7FEE9604" w14:textId="77777777" w:rsidR="00C66D60" w:rsidRPr="00B720D8" w:rsidRDefault="00C66D60" w:rsidP="00AA2C65">
      <w:pPr>
        <w:pStyle w:val="Prrafodelista"/>
        <w:tabs>
          <w:tab w:val="num" w:pos="426"/>
        </w:tabs>
        <w:jc w:val="both"/>
        <w:rPr>
          <w:rFonts w:ascii="Lucida Sans Unicode" w:hAnsi="Lucida Sans Unicode" w:cs="Lucida Sans Unicode"/>
        </w:rPr>
      </w:pPr>
    </w:p>
    <w:p w14:paraId="270CC87D" w14:textId="77777777" w:rsidR="00B659AB" w:rsidRPr="00B720D8" w:rsidRDefault="00B659AB" w:rsidP="00AA2C65">
      <w:pPr>
        <w:tabs>
          <w:tab w:val="num" w:pos="426"/>
        </w:tabs>
        <w:jc w:val="both"/>
        <w:rPr>
          <w:rFonts w:ascii="Lucida Sans Unicode" w:hAnsi="Lucida Sans Unicode" w:cs="Lucida Sans Unicode"/>
        </w:rPr>
      </w:pPr>
      <w:r w:rsidRPr="00B720D8">
        <w:rPr>
          <w:rFonts w:ascii="Lucida Sans Unicode" w:hAnsi="Lucida Sans Unicode" w:cs="Lucida Sans Unicode"/>
        </w:rPr>
        <w:t>En concordancia con los compromisos mencionados, el INSOR destinará los recursos que tenga disponibles para incentivar el cumplimiento de cada uno de estos propósitos y objetivos, los cuales están orientado al incremento de la eficiencia, eficacia y efectividad de su desempeño institucional, dando cumplimiento a los requisitos legales y organizacionales que rigen el Sistema de Gestión adoptado por la entidad.</w:t>
      </w:r>
    </w:p>
    <w:p w14:paraId="483E1B54" w14:textId="77777777" w:rsidR="00AC2645" w:rsidRPr="00B720D8" w:rsidRDefault="00AC2645" w:rsidP="00AA2C65">
      <w:pPr>
        <w:tabs>
          <w:tab w:val="num" w:pos="426"/>
        </w:tabs>
        <w:jc w:val="both"/>
        <w:rPr>
          <w:rFonts w:ascii="Lucida Sans Unicode" w:hAnsi="Lucida Sans Unicode" w:cs="Lucida Sans Unicode"/>
        </w:rPr>
      </w:pPr>
    </w:p>
    <w:p w14:paraId="11AB3B50" w14:textId="77777777" w:rsidR="00AC2645" w:rsidRPr="00B720D8" w:rsidRDefault="00AC2645" w:rsidP="00AA2C65">
      <w:pPr>
        <w:pStyle w:val="Sinespaciado"/>
        <w:jc w:val="both"/>
        <w:rPr>
          <w:rFonts w:ascii="Lucida Sans Unicode" w:hAnsi="Lucida Sans Unicode" w:cs="Lucida Sans Unicode"/>
          <w:b/>
        </w:rPr>
      </w:pPr>
      <w:r w:rsidRPr="00B720D8">
        <w:rPr>
          <w:rFonts w:ascii="Lucida Sans Unicode" w:hAnsi="Lucida Sans Unicode" w:cs="Lucida Sans Unicode"/>
          <w:b/>
        </w:rPr>
        <w:t>ESTRUCTURACIÓN DEL PLAN DE TRABAJO DEL SISTEMA DE GESTIÓN DE SEGURIDAD Y SALUD EN EL TRABAJO</w:t>
      </w:r>
    </w:p>
    <w:p w14:paraId="6C1A243A" w14:textId="77777777" w:rsidR="00AC2645" w:rsidRPr="00B720D8" w:rsidRDefault="00AC2645" w:rsidP="00AA2C65">
      <w:pPr>
        <w:pStyle w:val="Sinespaciado"/>
        <w:jc w:val="both"/>
        <w:rPr>
          <w:rFonts w:ascii="Lucida Sans Unicode" w:hAnsi="Lucida Sans Unicode" w:cs="Lucida Sans Unicode"/>
        </w:rPr>
      </w:pPr>
    </w:p>
    <w:p w14:paraId="795C6314" w14:textId="710F1EB6" w:rsidR="00C74679" w:rsidRPr="00B720D8" w:rsidRDefault="00AC2645" w:rsidP="00AA2C65">
      <w:pPr>
        <w:pStyle w:val="Sinespaciado"/>
        <w:jc w:val="both"/>
        <w:rPr>
          <w:rFonts w:ascii="Lucida Sans Unicode" w:hAnsi="Lucida Sans Unicode" w:cs="Lucida Sans Unicode"/>
          <w:b/>
          <w:lang w:val="es-CO"/>
        </w:rPr>
      </w:pPr>
      <w:r w:rsidRPr="00B720D8">
        <w:rPr>
          <w:rFonts w:ascii="Lucida Sans Unicode" w:hAnsi="Lucida Sans Unicode" w:cs="Lucida Sans Unicode"/>
        </w:rPr>
        <w:t xml:space="preserve"> Las actividades contempladas en plan de trabajo de Seguridad y Salud en el Trabajo se encuentran establecidas a través del ciclo PHVA que permite la mejora continua, </w:t>
      </w:r>
      <w:r w:rsidRPr="00B720D8">
        <w:rPr>
          <w:rFonts w:ascii="Lucida Sans Unicode" w:hAnsi="Lucida Sans Unicode" w:cs="Lucida Sans Unicode"/>
        </w:rPr>
        <w:lastRenderedPageBreak/>
        <w:t>incluye aspectos tales como: política, organización, planificación, aplicación, evaluación, auditoría y acciones de mejora con el objetivo de anticipar, reconocer, valorar y controlar los riesgos que puedan afectar la seguridad y la salud de los funcionarios, contratistas, pasantes, visitantes de la entidad, en cumplimiento de los estándares mínimos.</w:t>
      </w:r>
    </w:p>
    <w:p w14:paraId="6851EED3" w14:textId="77777777" w:rsidR="00C74679" w:rsidRPr="00B720D8" w:rsidRDefault="00C74679" w:rsidP="00AA2C65">
      <w:pPr>
        <w:pStyle w:val="Sinespaciado"/>
        <w:jc w:val="both"/>
        <w:rPr>
          <w:rFonts w:ascii="Lucida Sans Unicode" w:hAnsi="Lucida Sans Unicode" w:cs="Lucida Sans Unicode"/>
          <w:b/>
        </w:rPr>
      </w:pPr>
    </w:p>
    <w:p w14:paraId="2A43F889" w14:textId="77777777" w:rsidR="00C74679" w:rsidRPr="00B720D8" w:rsidRDefault="00C74679" w:rsidP="00AA2C65">
      <w:pPr>
        <w:jc w:val="both"/>
        <w:rPr>
          <w:rFonts w:ascii="Lucida Sans Unicode" w:hAnsi="Lucida Sans Unicode" w:cs="Lucida Sans Unicode"/>
          <w:b/>
          <w:lang w:val="es-ES"/>
        </w:rPr>
      </w:pPr>
    </w:p>
    <w:p w14:paraId="298AA115" w14:textId="14C1BC3E" w:rsidR="00AC2645" w:rsidRPr="00B720D8" w:rsidRDefault="00AC2645" w:rsidP="00AA2C65">
      <w:pPr>
        <w:jc w:val="center"/>
        <w:rPr>
          <w:rFonts w:ascii="Lucida Sans Unicode" w:hAnsi="Lucida Sans Unicode" w:cs="Lucida Sans Unicode"/>
          <w:b/>
        </w:rPr>
      </w:pPr>
      <w:r w:rsidRPr="00B720D8">
        <w:rPr>
          <w:rFonts w:ascii="Lucida Sans Unicode" w:hAnsi="Lucida Sans Unicode" w:cs="Lucida Sans Unicode"/>
          <w:b/>
        </w:rPr>
        <w:t>RECURSOS</w:t>
      </w:r>
    </w:p>
    <w:p w14:paraId="62E8B702" w14:textId="77777777" w:rsidR="00AC2645" w:rsidRPr="00B720D8" w:rsidRDefault="00AC2645" w:rsidP="00AA2C65">
      <w:pPr>
        <w:jc w:val="center"/>
        <w:rPr>
          <w:rFonts w:ascii="Lucida Sans Unicode" w:hAnsi="Lucida Sans Unicode" w:cs="Lucida Sans Unicode"/>
        </w:rPr>
      </w:pPr>
    </w:p>
    <w:p w14:paraId="675F5B4E" w14:textId="77777777" w:rsidR="00AC2645" w:rsidRPr="00B720D8" w:rsidRDefault="00AC2645" w:rsidP="00AA2C65">
      <w:pPr>
        <w:jc w:val="both"/>
        <w:rPr>
          <w:rFonts w:ascii="Lucida Sans Unicode" w:hAnsi="Lucida Sans Unicode" w:cs="Lucida Sans Unicode"/>
        </w:rPr>
      </w:pPr>
      <w:r w:rsidRPr="00B720D8">
        <w:rPr>
          <w:rFonts w:ascii="Lucida Sans Unicode" w:hAnsi="Lucida Sans Unicode" w:cs="Lucida Sans Unicode"/>
        </w:rPr>
        <w:t xml:space="preserve">Se estableció la necesidad de los recursos financieros, técnicos y de personal, necesarios para el diseño, implementación, revisión evaluación y mejora de las medidas de prevención y control, para la gestión eficaz de los peligros y riesgos en el lugar de trabajo con el fin de que los responsables de la Seguridad y Salud en el Trabajo en la Entidad, el Comité Paritario de Seguridad y Salud en el Trabajo y el comité de Convivencia Laboral puedan cumplir de manera satisfactoria con sus funciones. </w:t>
      </w:r>
    </w:p>
    <w:p w14:paraId="702CE356" w14:textId="77777777" w:rsidR="00070F9A" w:rsidRPr="00B720D8" w:rsidRDefault="00070F9A" w:rsidP="00AA2C65">
      <w:pPr>
        <w:jc w:val="both"/>
        <w:rPr>
          <w:rFonts w:ascii="Lucida Sans Unicode" w:hAnsi="Lucida Sans Unicode" w:cs="Lucida Sans Unicode"/>
        </w:rPr>
      </w:pPr>
    </w:p>
    <w:p w14:paraId="051A5D4C" w14:textId="77777777" w:rsidR="00070F9A" w:rsidRPr="00B720D8" w:rsidRDefault="00070F9A" w:rsidP="00AA2C65">
      <w:pPr>
        <w:jc w:val="both"/>
        <w:rPr>
          <w:rFonts w:ascii="Lucida Sans Unicode" w:hAnsi="Lucida Sans Unicode" w:cs="Lucida Sans Unicode"/>
        </w:rPr>
      </w:pPr>
    </w:p>
    <w:p w14:paraId="423E33C2" w14:textId="31B8B311" w:rsidR="00070F9A" w:rsidRPr="00B720D8" w:rsidRDefault="00070F9A" w:rsidP="00AA2C65">
      <w:pPr>
        <w:pStyle w:val="Prrafodelista"/>
        <w:numPr>
          <w:ilvl w:val="0"/>
          <w:numId w:val="22"/>
        </w:numPr>
        <w:tabs>
          <w:tab w:val="left" w:pos="3119"/>
          <w:tab w:val="left" w:pos="3261"/>
        </w:tabs>
        <w:jc w:val="both"/>
        <w:rPr>
          <w:rFonts w:ascii="Lucida Sans Unicode" w:hAnsi="Lucida Sans Unicode" w:cs="Lucida Sans Unicode"/>
          <w:b/>
          <w:lang w:val="es-ES"/>
        </w:rPr>
      </w:pPr>
      <w:r w:rsidRPr="00B720D8">
        <w:rPr>
          <w:rFonts w:ascii="Lucida Sans Unicode" w:hAnsi="Lucida Sans Unicode" w:cs="Lucida Sans Unicode"/>
          <w:b/>
        </w:rPr>
        <w:t xml:space="preserve">Recurso humano: </w:t>
      </w:r>
      <w:r w:rsidRPr="00B720D8">
        <w:rPr>
          <w:rFonts w:ascii="Lucida Sans Unicode" w:hAnsi="Lucida Sans Unicode" w:cs="Lucida Sans Unicode"/>
        </w:rPr>
        <w:t xml:space="preserve">Contemplan </w:t>
      </w:r>
      <w:r w:rsidR="00AC2645" w:rsidRPr="00B720D8">
        <w:rPr>
          <w:rFonts w:ascii="Lucida Sans Unicode" w:hAnsi="Lucida Sans Unicode" w:cs="Lucida Sans Unicode"/>
        </w:rPr>
        <w:t>aspectos de implementación, documentación, investigación de accidentes y enfermedades laborales, inspección a lugares y puestos de trabajo, capacitación en temas de SST y las demás funciones directas en la Gestión del Sistema de Seguridad</w:t>
      </w:r>
      <w:r w:rsidRPr="00B720D8">
        <w:rPr>
          <w:rFonts w:ascii="Lucida Sans Unicode" w:hAnsi="Lucida Sans Unicode" w:cs="Lucida Sans Unicode"/>
        </w:rPr>
        <w:t xml:space="preserve"> y Salud en el Trabajo.</w:t>
      </w:r>
    </w:p>
    <w:p w14:paraId="3A6A233B" w14:textId="77777777" w:rsidR="00070F9A" w:rsidRPr="00B720D8" w:rsidRDefault="00070F9A" w:rsidP="00AA2C65">
      <w:pPr>
        <w:ind w:left="360"/>
        <w:jc w:val="both"/>
        <w:rPr>
          <w:rFonts w:ascii="Lucida Sans Unicode" w:hAnsi="Lucida Sans Unicode" w:cs="Lucida Sans Unicode"/>
          <w:b/>
          <w:lang w:val="es-ES"/>
        </w:rPr>
      </w:pPr>
    </w:p>
    <w:p w14:paraId="794DCE86" w14:textId="77777777" w:rsidR="00070F9A" w:rsidRPr="00B720D8" w:rsidRDefault="00AC2645" w:rsidP="00AA2C65">
      <w:pPr>
        <w:pStyle w:val="Prrafodelista"/>
        <w:numPr>
          <w:ilvl w:val="0"/>
          <w:numId w:val="23"/>
        </w:numPr>
        <w:jc w:val="both"/>
        <w:rPr>
          <w:rFonts w:ascii="Lucida Sans Unicode" w:hAnsi="Lucida Sans Unicode" w:cs="Lucida Sans Unicode"/>
          <w:b/>
          <w:lang w:val="es-ES"/>
        </w:rPr>
      </w:pPr>
      <w:r w:rsidRPr="00B720D8">
        <w:rPr>
          <w:rFonts w:ascii="Lucida Sans Unicode" w:hAnsi="Lucida Sans Unicode" w:cs="Lucida Sans Unicode"/>
        </w:rPr>
        <w:t xml:space="preserve">Grupo de Gestión de Talento Humano - Seguridad y Salud en el Trabajo. </w:t>
      </w:r>
    </w:p>
    <w:p w14:paraId="20BEBD1C" w14:textId="77777777" w:rsidR="00070F9A" w:rsidRPr="00B720D8" w:rsidRDefault="00AC2645" w:rsidP="00AA2C65">
      <w:pPr>
        <w:pStyle w:val="Prrafodelista"/>
        <w:numPr>
          <w:ilvl w:val="0"/>
          <w:numId w:val="23"/>
        </w:numPr>
        <w:jc w:val="both"/>
        <w:rPr>
          <w:rFonts w:ascii="Lucida Sans Unicode" w:hAnsi="Lucida Sans Unicode" w:cs="Lucida Sans Unicode"/>
          <w:b/>
          <w:lang w:val="es-ES"/>
        </w:rPr>
      </w:pPr>
      <w:r w:rsidRPr="00B720D8">
        <w:rPr>
          <w:rFonts w:ascii="Lucida Sans Unicode" w:hAnsi="Lucida Sans Unicode" w:cs="Lucida Sans Unicode"/>
        </w:rPr>
        <w:t>Miembros del COPASST.</w:t>
      </w:r>
    </w:p>
    <w:p w14:paraId="1FF21D72" w14:textId="686D4D9A" w:rsidR="00070F9A" w:rsidRPr="00B720D8" w:rsidRDefault="00AC2645" w:rsidP="00AA2C65">
      <w:pPr>
        <w:pStyle w:val="Prrafodelista"/>
        <w:numPr>
          <w:ilvl w:val="0"/>
          <w:numId w:val="23"/>
        </w:numPr>
        <w:jc w:val="both"/>
        <w:rPr>
          <w:rFonts w:ascii="Lucida Sans Unicode" w:hAnsi="Lucida Sans Unicode" w:cs="Lucida Sans Unicode"/>
          <w:b/>
          <w:lang w:val="es-ES"/>
        </w:rPr>
      </w:pPr>
      <w:r w:rsidRPr="00B720D8">
        <w:rPr>
          <w:rFonts w:ascii="Lucida Sans Unicode" w:hAnsi="Lucida Sans Unicode" w:cs="Lucida Sans Unicode"/>
        </w:rPr>
        <w:t xml:space="preserve">Miembros del Comité de Convivencia Laboral. </w:t>
      </w:r>
    </w:p>
    <w:p w14:paraId="78FBFF17" w14:textId="4446FC10" w:rsidR="00070F9A" w:rsidRPr="00B720D8" w:rsidRDefault="00AC2645" w:rsidP="00AA2C65">
      <w:pPr>
        <w:pStyle w:val="Prrafodelista"/>
        <w:numPr>
          <w:ilvl w:val="0"/>
          <w:numId w:val="23"/>
        </w:numPr>
        <w:jc w:val="both"/>
        <w:rPr>
          <w:rFonts w:ascii="Lucida Sans Unicode" w:hAnsi="Lucida Sans Unicode" w:cs="Lucida Sans Unicode"/>
          <w:b/>
          <w:lang w:val="es-ES"/>
        </w:rPr>
      </w:pPr>
      <w:r w:rsidRPr="00B720D8">
        <w:rPr>
          <w:rFonts w:ascii="Lucida Sans Unicode" w:hAnsi="Lucida Sans Unicode" w:cs="Lucida Sans Unicode"/>
        </w:rPr>
        <w:t xml:space="preserve">Miembros de la Brigada de emergencia. </w:t>
      </w:r>
    </w:p>
    <w:p w14:paraId="5F6C5FDD" w14:textId="7240D9F6" w:rsidR="00070F9A" w:rsidRPr="00B720D8" w:rsidRDefault="00AC2645" w:rsidP="00AA2C65">
      <w:pPr>
        <w:pStyle w:val="Prrafodelista"/>
        <w:numPr>
          <w:ilvl w:val="0"/>
          <w:numId w:val="23"/>
        </w:numPr>
        <w:jc w:val="both"/>
        <w:rPr>
          <w:rFonts w:ascii="Lucida Sans Unicode" w:hAnsi="Lucida Sans Unicode" w:cs="Lucida Sans Unicode"/>
          <w:b/>
          <w:lang w:val="es-ES"/>
        </w:rPr>
      </w:pPr>
      <w:r w:rsidRPr="00B720D8">
        <w:rPr>
          <w:rFonts w:ascii="Lucida Sans Unicode" w:hAnsi="Lucida Sans Unicode" w:cs="Lucida Sans Unicode"/>
        </w:rPr>
        <w:t xml:space="preserve">Administradora de Riesgos Laborales (ARL). </w:t>
      </w:r>
    </w:p>
    <w:p w14:paraId="1D6C6530" w14:textId="77777777" w:rsidR="00070F9A" w:rsidRPr="00B720D8" w:rsidRDefault="00070F9A" w:rsidP="00AA2C65">
      <w:pPr>
        <w:ind w:left="1125"/>
        <w:jc w:val="both"/>
        <w:rPr>
          <w:rFonts w:ascii="Lucida Sans Unicode" w:hAnsi="Lucida Sans Unicode" w:cs="Lucida Sans Unicode"/>
          <w:b/>
          <w:lang w:val="es-ES"/>
        </w:rPr>
      </w:pPr>
    </w:p>
    <w:p w14:paraId="102F8A9F" w14:textId="49D1DC68" w:rsidR="00070F9A" w:rsidRPr="00B720D8" w:rsidRDefault="00070F9A" w:rsidP="00AA2C65">
      <w:pPr>
        <w:pStyle w:val="Prrafodelista"/>
        <w:numPr>
          <w:ilvl w:val="0"/>
          <w:numId w:val="22"/>
        </w:numPr>
        <w:jc w:val="both"/>
        <w:rPr>
          <w:rFonts w:ascii="Lucida Sans Unicode" w:hAnsi="Lucida Sans Unicode" w:cs="Lucida Sans Unicode"/>
          <w:b/>
          <w:lang w:val="es-ES"/>
        </w:rPr>
      </w:pPr>
      <w:r w:rsidRPr="00B720D8">
        <w:rPr>
          <w:rFonts w:ascii="Lucida Sans Unicode" w:hAnsi="Lucida Sans Unicode" w:cs="Lucida Sans Unicode"/>
          <w:b/>
        </w:rPr>
        <w:t>Recurso Técnico:</w:t>
      </w:r>
      <w:r w:rsidRPr="00B720D8">
        <w:rPr>
          <w:rFonts w:ascii="Lucida Sans Unicode" w:hAnsi="Lucida Sans Unicode" w:cs="Lucida Sans Unicode"/>
        </w:rPr>
        <w:t xml:space="preserve"> Contemplan</w:t>
      </w:r>
      <w:r w:rsidR="00AC2645" w:rsidRPr="00B720D8">
        <w:rPr>
          <w:rFonts w:ascii="Lucida Sans Unicode" w:hAnsi="Lucida Sans Unicode" w:cs="Lucida Sans Unicode"/>
        </w:rPr>
        <w:t xml:space="preserve"> aspectos de inversión en equipos utilizados y su mantenimiento, en el marco de la implementación y desarrollo del Sistema de Gestión de la Seguridad y Salud en el Trabajo. </w:t>
      </w:r>
    </w:p>
    <w:p w14:paraId="3CF69EA4" w14:textId="77777777" w:rsidR="00070F9A" w:rsidRPr="00B720D8" w:rsidRDefault="00070F9A" w:rsidP="00AA2C65">
      <w:pPr>
        <w:pStyle w:val="Prrafodelista"/>
        <w:jc w:val="both"/>
        <w:rPr>
          <w:rFonts w:ascii="Lucida Sans Unicode" w:hAnsi="Lucida Sans Unicode" w:cs="Lucida Sans Unicode"/>
          <w:b/>
          <w:lang w:val="es-ES"/>
        </w:rPr>
      </w:pPr>
    </w:p>
    <w:p w14:paraId="0CA2581E" w14:textId="21BEB904" w:rsidR="00BC1638" w:rsidRPr="00B720D8" w:rsidRDefault="00AC2645" w:rsidP="00AA2C65">
      <w:pPr>
        <w:pStyle w:val="Prrafodelista"/>
        <w:numPr>
          <w:ilvl w:val="0"/>
          <w:numId w:val="22"/>
        </w:numPr>
        <w:jc w:val="both"/>
        <w:rPr>
          <w:rFonts w:ascii="Lucida Sans Unicode" w:hAnsi="Lucida Sans Unicode" w:cs="Lucida Sans Unicode"/>
          <w:b/>
          <w:lang w:val="es-ES"/>
        </w:rPr>
      </w:pPr>
      <w:r w:rsidRPr="00B720D8">
        <w:rPr>
          <w:rFonts w:ascii="Lucida Sans Unicode" w:hAnsi="Lucida Sans Unicode" w:cs="Lucida Sans Unicode"/>
        </w:rPr>
        <w:t xml:space="preserve"> </w:t>
      </w:r>
      <w:r w:rsidR="00070F9A" w:rsidRPr="00B720D8">
        <w:rPr>
          <w:rFonts w:ascii="Lucida Sans Unicode" w:hAnsi="Lucida Sans Unicode" w:cs="Lucida Sans Unicode"/>
          <w:b/>
        </w:rPr>
        <w:t xml:space="preserve">Financiero: </w:t>
      </w:r>
      <w:r w:rsidRPr="00B720D8">
        <w:rPr>
          <w:rFonts w:ascii="Lucida Sans Unicode" w:hAnsi="Lucida Sans Unicode" w:cs="Lucida Sans Unicode"/>
        </w:rPr>
        <w:t>Contempla las inversiones económicas en los aspectos a</w:t>
      </w:r>
      <w:r w:rsidR="00070F9A" w:rsidRPr="00B720D8">
        <w:rPr>
          <w:rFonts w:ascii="Lucida Sans Unicode" w:hAnsi="Lucida Sans Unicode" w:cs="Lucida Sans Unicode"/>
        </w:rPr>
        <w:t>nteriores y otros que la entidad</w:t>
      </w:r>
      <w:r w:rsidRPr="00B720D8">
        <w:rPr>
          <w:rFonts w:ascii="Lucida Sans Unicode" w:hAnsi="Lucida Sans Unicode" w:cs="Lucida Sans Unicode"/>
        </w:rPr>
        <w:t xml:space="preserve"> identifica para el desarrollo del Sistema de Gestión de la Seguridad y Salud en el Trabajo. </w:t>
      </w:r>
    </w:p>
    <w:p w14:paraId="284FA2AF" w14:textId="77777777" w:rsidR="00C66D60" w:rsidRPr="00B720D8" w:rsidRDefault="00C66D60" w:rsidP="00AA2C65">
      <w:pPr>
        <w:pStyle w:val="Prrafodelista"/>
        <w:jc w:val="both"/>
        <w:rPr>
          <w:rFonts w:ascii="Lucida Sans Unicode" w:hAnsi="Lucida Sans Unicode" w:cs="Lucida Sans Unicode"/>
          <w:b/>
          <w:lang w:val="es-ES"/>
        </w:rPr>
      </w:pPr>
    </w:p>
    <w:p w14:paraId="2CCCA17A" w14:textId="636B0A8B" w:rsidR="00C66D60" w:rsidRPr="00B720D8" w:rsidRDefault="00C66D60" w:rsidP="00AA2C65">
      <w:pPr>
        <w:jc w:val="center"/>
        <w:rPr>
          <w:rFonts w:ascii="Lucida Sans Unicode" w:hAnsi="Lucida Sans Unicode" w:cs="Lucida Sans Unicode"/>
          <w:b/>
          <w:lang w:val="es-ES"/>
        </w:rPr>
      </w:pPr>
      <w:r w:rsidRPr="00B720D8">
        <w:rPr>
          <w:rFonts w:ascii="Lucida Sans Unicode" w:hAnsi="Lucida Sans Unicode" w:cs="Lucida Sans Unicode"/>
          <w:b/>
        </w:rPr>
        <w:t>EVALUACIÓN Y DIAGNÓSTICO</w:t>
      </w:r>
    </w:p>
    <w:p w14:paraId="29E13C0D" w14:textId="77777777" w:rsidR="00070F9A" w:rsidRPr="00B720D8" w:rsidRDefault="00070F9A" w:rsidP="00AA2C65">
      <w:pPr>
        <w:pStyle w:val="Prrafodelista"/>
        <w:jc w:val="center"/>
        <w:rPr>
          <w:rFonts w:ascii="Lucida Sans Unicode" w:hAnsi="Lucida Sans Unicode" w:cs="Lucida Sans Unicode"/>
          <w:b/>
          <w:lang w:val="es-ES"/>
        </w:rPr>
      </w:pPr>
    </w:p>
    <w:p w14:paraId="0370CAA6" w14:textId="7E927D6F" w:rsidR="007A7DF5" w:rsidRPr="00B720D8" w:rsidRDefault="00C66D60" w:rsidP="00AA2C65">
      <w:pPr>
        <w:jc w:val="both"/>
        <w:rPr>
          <w:rFonts w:ascii="Lucida Sans Unicode" w:hAnsi="Lucida Sans Unicode" w:cs="Lucida Sans Unicode"/>
        </w:rPr>
      </w:pPr>
      <w:r w:rsidRPr="00B720D8">
        <w:rPr>
          <w:rFonts w:ascii="Lucida Sans Unicode" w:hAnsi="Lucida Sans Unicode" w:cs="Lucida Sans Unicode"/>
        </w:rPr>
        <w:t>Resultados autoevaluación estándares mínimos 2021 De conformidad con el artículo 16 de la Resolución 0312 de 2019 expedida por el Ministerio de Trabajo establece los estándares mínimos para implementar el Sistema de Gestión de Seguridad y Salud en el Trabajo (SG-SST). Los estándares mínimos, de acuerdo a esta resolución, son: “Conjunto de normas, requisitos y procedimientos de obligatorio cumplimiento, mediante los cuales se establece, registra, verifica y controla el cumplimiento de las condiciones básicas de capacidad tecnológica y científica; de suficiencia patrimonial y financiera; y de capacidad técnico administrativa, indispensables para el funcionamiento, ejercicio y desarrollo de actividades de los empleadores y contratantes en el Sistema General de Riesgos Laborales”.</w:t>
      </w:r>
    </w:p>
    <w:p w14:paraId="54E30D53" w14:textId="45C2E003" w:rsidR="00C66D60" w:rsidRPr="00B720D8" w:rsidRDefault="00C66D60" w:rsidP="00AA2C65">
      <w:pPr>
        <w:jc w:val="both"/>
        <w:rPr>
          <w:rFonts w:ascii="Lucida Sans Unicode" w:hAnsi="Lucida Sans Unicode" w:cs="Lucida Sans Unicode"/>
        </w:rPr>
      </w:pPr>
    </w:p>
    <w:p w14:paraId="6018A3A3" w14:textId="77777777" w:rsidR="00C66D60" w:rsidRPr="00B720D8" w:rsidRDefault="00C66D60" w:rsidP="00AA2C65">
      <w:pPr>
        <w:jc w:val="both"/>
        <w:rPr>
          <w:rFonts w:ascii="Lucida Sans Unicode" w:hAnsi="Lucida Sans Unicode" w:cs="Lucida Sans Unicode"/>
          <w:b/>
          <w:lang w:val="es-ES"/>
        </w:rPr>
      </w:pPr>
    </w:p>
    <w:p w14:paraId="696D021B" w14:textId="1B36C177" w:rsidR="00C66D60" w:rsidRPr="00B720D8" w:rsidRDefault="00C66D60" w:rsidP="00AA2C65">
      <w:pPr>
        <w:jc w:val="both"/>
        <w:rPr>
          <w:rFonts w:ascii="Lucida Sans Unicode" w:hAnsi="Lucida Sans Unicode" w:cs="Lucida Sans Unicode"/>
          <w:b/>
          <w:lang w:val="es-ES"/>
        </w:rPr>
      </w:pPr>
      <w:r w:rsidRPr="00B720D8">
        <w:rPr>
          <w:rFonts w:ascii="Lucida Sans Unicode" w:hAnsi="Lucida Sans Unicode" w:cs="Lucida Sans Unicode"/>
          <w:noProof/>
          <w:lang w:eastAsia="es-CO"/>
        </w:rPr>
        <w:drawing>
          <wp:inline distT="0" distB="0" distL="0" distR="0" wp14:anchorId="196A2AA4" wp14:editId="05B7955D">
            <wp:extent cx="4766945" cy="2769235"/>
            <wp:effectExtent l="0" t="0" r="14605" b="12065"/>
            <wp:docPr id="36" name="Gráfico 36">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A8A88E" w14:textId="77777777" w:rsidR="005B55B2" w:rsidRPr="00B720D8" w:rsidRDefault="005B55B2" w:rsidP="00AA2C65">
      <w:pPr>
        <w:jc w:val="both"/>
        <w:rPr>
          <w:rFonts w:ascii="Lucida Sans Unicode" w:hAnsi="Lucida Sans Unicode" w:cs="Lucida Sans Unicode"/>
          <w:b/>
          <w:lang w:val="es-ES"/>
        </w:rPr>
      </w:pPr>
    </w:p>
    <w:p w14:paraId="325ABDA7" w14:textId="4D047F32" w:rsidR="005B55B2" w:rsidRPr="00B720D8" w:rsidRDefault="005B55B2" w:rsidP="00AA2C65">
      <w:pPr>
        <w:jc w:val="both"/>
        <w:rPr>
          <w:rFonts w:ascii="Lucida Sans Unicode" w:hAnsi="Lucida Sans Unicode" w:cs="Lucida Sans Unicode"/>
        </w:rPr>
      </w:pPr>
      <w:r w:rsidRPr="00B720D8">
        <w:rPr>
          <w:rFonts w:ascii="Lucida Sans Unicode" w:eastAsia="Verdana" w:hAnsi="Lucida Sans Unicode" w:cs="Lucida Sans Unicode"/>
        </w:rPr>
        <w:t xml:space="preserve">Para este 2021 la entidad tiene un cumplimiento del 97.5% de los estándares mínimos del SG-SST, dónde se han mantenido las actividades obligatorias, para el fortalecimiento del sistema, </w:t>
      </w:r>
      <w:r w:rsidRPr="00B720D8">
        <w:rPr>
          <w:rFonts w:ascii="Lucida Sans Unicode" w:hAnsi="Lucida Sans Unicode" w:cs="Lucida Sans Unicode"/>
        </w:rPr>
        <w:t>la gráfica, demuestra la necesidad de mejorar los procesos de Gestión Integral del Sistema de Gestión de Seguridad y Salud en el Trabajo, la Gestión de Peligros y Riesgos, el proceso de Verificación del Sistema de Gestión de Seguridad y Salud en el Trabajo y Mejoramiento del mismo.</w:t>
      </w:r>
    </w:p>
    <w:p w14:paraId="40908BA3" w14:textId="77777777" w:rsidR="00A76429" w:rsidRPr="00B720D8" w:rsidRDefault="00A76429" w:rsidP="00AA2C65">
      <w:pPr>
        <w:jc w:val="both"/>
        <w:rPr>
          <w:rFonts w:ascii="Lucida Sans Unicode" w:hAnsi="Lucida Sans Unicode" w:cs="Lucida Sans Unicode"/>
          <w:b/>
          <w:lang w:val="es-ES"/>
        </w:rPr>
      </w:pPr>
    </w:p>
    <w:p w14:paraId="0C365BCE" w14:textId="47703164" w:rsidR="00A76429" w:rsidRPr="00B720D8" w:rsidRDefault="005B55B2" w:rsidP="00AA2C65">
      <w:pPr>
        <w:jc w:val="center"/>
        <w:rPr>
          <w:rFonts w:ascii="Lucida Sans Unicode" w:hAnsi="Lucida Sans Unicode" w:cs="Lucida Sans Unicode"/>
          <w:b/>
        </w:rPr>
      </w:pPr>
      <w:r w:rsidRPr="00B720D8">
        <w:rPr>
          <w:rFonts w:ascii="Lucida Sans Unicode" w:hAnsi="Lucida Sans Unicode" w:cs="Lucida Sans Unicode"/>
          <w:b/>
        </w:rPr>
        <w:t>Seguimiento y Evaluación</w:t>
      </w:r>
    </w:p>
    <w:p w14:paraId="2763B8A5" w14:textId="77777777" w:rsidR="00A76429" w:rsidRPr="00B720D8" w:rsidRDefault="00A76429" w:rsidP="00AA2C65">
      <w:pPr>
        <w:jc w:val="center"/>
        <w:rPr>
          <w:rFonts w:ascii="Lucida Sans Unicode" w:hAnsi="Lucida Sans Unicode" w:cs="Lucida Sans Unicode"/>
          <w:b/>
        </w:rPr>
      </w:pPr>
    </w:p>
    <w:p w14:paraId="4194D91D" w14:textId="4939A029" w:rsidR="00A76429" w:rsidRPr="00B720D8" w:rsidRDefault="00A76429" w:rsidP="00AA2C65">
      <w:pPr>
        <w:jc w:val="both"/>
        <w:rPr>
          <w:rFonts w:ascii="Lucida Sans Unicode" w:hAnsi="Lucida Sans Unicode" w:cs="Lucida Sans Unicode"/>
        </w:rPr>
      </w:pPr>
      <w:r w:rsidRPr="00B720D8">
        <w:rPr>
          <w:rFonts w:ascii="Lucida Sans Unicode" w:hAnsi="Lucida Sans Unicode" w:cs="Lucida Sans Unicode"/>
        </w:rPr>
        <w:t>El INSOR</w:t>
      </w:r>
      <w:r w:rsidR="005B55B2" w:rsidRPr="00B720D8">
        <w:rPr>
          <w:rFonts w:ascii="Lucida Sans Unicode" w:hAnsi="Lucida Sans Unicode" w:cs="Lucida Sans Unicode"/>
        </w:rPr>
        <w:t xml:space="preserve"> realizará auditoría interna al cumplimiento del Sistema de Gestión de la Seguridad y Salud en el Trabajo, avances</w:t>
      </w:r>
      <w:r w:rsidRPr="00B720D8">
        <w:rPr>
          <w:rFonts w:ascii="Lucida Sans Unicode" w:hAnsi="Lucida Sans Unicode" w:cs="Lucida Sans Unicode"/>
        </w:rPr>
        <w:t xml:space="preserve">, indicadores </w:t>
      </w:r>
      <w:r w:rsidR="005B55B2" w:rsidRPr="00B720D8">
        <w:rPr>
          <w:rFonts w:ascii="Lucida Sans Unicode" w:hAnsi="Lucida Sans Unicode" w:cs="Lucida Sans Unicode"/>
        </w:rPr>
        <w:t>y</w:t>
      </w:r>
      <w:r w:rsidRPr="00B720D8">
        <w:rPr>
          <w:rFonts w:ascii="Lucida Sans Unicode" w:hAnsi="Lucida Sans Unicode" w:cs="Lucida Sans Unicode"/>
        </w:rPr>
        <w:t xml:space="preserve"> COPASST</w:t>
      </w:r>
      <w:r w:rsidR="005B55B2" w:rsidRPr="00B720D8">
        <w:rPr>
          <w:rFonts w:ascii="Lucida Sans Unicode" w:hAnsi="Lucida Sans Unicode" w:cs="Lucida Sans Unicode"/>
        </w:rPr>
        <w:t xml:space="preserve">. De acuerdo con lo establecido en el Decreto 1072 de 2015 se debe realizar una auditoría anual, la cual será planificada con la participación del Comité Paritario de Seguridad y Salud en el Trabajo, donde se establece un procedimiento para determinar: </w:t>
      </w:r>
    </w:p>
    <w:p w14:paraId="42C2100C" w14:textId="77777777" w:rsidR="00C41A7B" w:rsidRPr="00B720D8" w:rsidRDefault="00C41A7B" w:rsidP="00AA2C65">
      <w:pPr>
        <w:jc w:val="both"/>
        <w:rPr>
          <w:rFonts w:ascii="Lucida Sans Unicode" w:hAnsi="Lucida Sans Unicode" w:cs="Lucida Sans Unicode"/>
        </w:rPr>
      </w:pPr>
    </w:p>
    <w:p w14:paraId="5AF7E952" w14:textId="6DC314E7" w:rsidR="00A76429" w:rsidRPr="00B720D8" w:rsidRDefault="005B55B2" w:rsidP="00AA2C65">
      <w:pPr>
        <w:pStyle w:val="Prrafodelista"/>
        <w:numPr>
          <w:ilvl w:val="1"/>
          <w:numId w:val="30"/>
        </w:numPr>
        <w:jc w:val="both"/>
        <w:rPr>
          <w:rFonts w:ascii="Lucida Sans Unicode" w:hAnsi="Lucida Sans Unicode" w:cs="Lucida Sans Unicode"/>
        </w:rPr>
      </w:pPr>
      <w:r w:rsidRPr="00B720D8">
        <w:rPr>
          <w:rFonts w:ascii="Lucida Sans Unicode" w:hAnsi="Lucida Sans Unicode" w:cs="Lucida Sans Unicode"/>
        </w:rPr>
        <w:t xml:space="preserve">Las responsabilidades, competencias y requisitos para planificar y conducir auditoria, informando resultados y reteniendo los registros asociados; y </w:t>
      </w:r>
    </w:p>
    <w:p w14:paraId="3F48F7C0" w14:textId="4CD74037" w:rsidR="00A76429" w:rsidRPr="00B720D8" w:rsidRDefault="005B55B2" w:rsidP="00AA2C65">
      <w:pPr>
        <w:pStyle w:val="Prrafodelista"/>
        <w:numPr>
          <w:ilvl w:val="1"/>
          <w:numId w:val="30"/>
        </w:numPr>
        <w:jc w:val="both"/>
        <w:rPr>
          <w:rFonts w:ascii="Lucida Sans Unicode" w:hAnsi="Lucida Sans Unicode" w:cs="Lucida Sans Unicode"/>
        </w:rPr>
      </w:pPr>
      <w:r w:rsidRPr="00B720D8">
        <w:rPr>
          <w:rFonts w:ascii="Lucida Sans Unicode" w:hAnsi="Lucida Sans Unicode" w:cs="Lucida Sans Unicode"/>
        </w:rPr>
        <w:t xml:space="preserve">La determinación de criterios de auditoria, alcance, frecuencia y métodos. </w:t>
      </w:r>
    </w:p>
    <w:p w14:paraId="38FD1B2B" w14:textId="686D48DC" w:rsidR="00C66D60" w:rsidRPr="00B720D8" w:rsidRDefault="00A76429" w:rsidP="00AA2C65">
      <w:pPr>
        <w:pStyle w:val="Prrafodelista"/>
        <w:numPr>
          <w:ilvl w:val="1"/>
          <w:numId w:val="30"/>
        </w:numPr>
        <w:jc w:val="both"/>
        <w:rPr>
          <w:rFonts w:ascii="Lucida Sans Unicode" w:hAnsi="Lucida Sans Unicode" w:cs="Lucida Sans Unicode"/>
        </w:rPr>
      </w:pPr>
      <w:r w:rsidRPr="00B720D8">
        <w:rPr>
          <w:rFonts w:ascii="Lucida Sans Unicode" w:hAnsi="Lucida Sans Unicode" w:cs="Lucida Sans Unicode"/>
        </w:rPr>
        <w:t>La selección de auditor</w:t>
      </w:r>
      <w:r w:rsidR="005B55B2" w:rsidRPr="00B720D8">
        <w:rPr>
          <w:rFonts w:ascii="Lucida Sans Unicode" w:hAnsi="Lucida Sans Unicode" w:cs="Lucida Sans Unicode"/>
        </w:rPr>
        <w:t xml:space="preserve"> y la conducción de las auditorias aseguran la objetividad y la impar</w:t>
      </w:r>
      <w:r w:rsidRPr="00B720D8">
        <w:rPr>
          <w:rFonts w:ascii="Lucida Sans Unicode" w:hAnsi="Lucida Sans Unicode" w:cs="Lucida Sans Unicode"/>
        </w:rPr>
        <w:t>cialidad en el proceso de audit</w:t>
      </w:r>
      <w:r w:rsidR="005B55B2" w:rsidRPr="00B720D8">
        <w:rPr>
          <w:rFonts w:ascii="Lucida Sans Unicode" w:hAnsi="Lucida Sans Unicode" w:cs="Lucida Sans Unicode"/>
        </w:rPr>
        <w:t>oría.</w:t>
      </w:r>
    </w:p>
    <w:p w14:paraId="776A36DE" w14:textId="2B476609" w:rsidR="00A76429" w:rsidRPr="00B720D8" w:rsidRDefault="00A76429" w:rsidP="00AA2C65">
      <w:pPr>
        <w:jc w:val="both"/>
        <w:rPr>
          <w:rFonts w:ascii="Lucida Sans Unicode" w:hAnsi="Lucida Sans Unicode" w:cs="Lucida Sans Unicode"/>
        </w:rPr>
      </w:pPr>
    </w:p>
    <w:p w14:paraId="6D22303F" w14:textId="4DADB146" w:rsidR="00A76429" w:rsidRPr="00B720D8" w:rsidRDefault="00A76429" w:rsidP="00AA2C65">
      <w:pPr>
        <w:jc w:val="both"/>
        <w:rPr>
          <w:rFonts w:ascii="Lucida Sans Unicode" w:hAnsi="Lucida Sans Unicode" w:cs="Lucida Sans Unicode"/>
        </w:rPr>
      </w:pPr>
      <w:r w:rsidRPr="00B720D8">
        <w:rPr>
          <w:rFonts w:ascii="Lucida Sans Unicode" w:hAnsi="Lucida Sans Unicode" w:cs="Lucida Sans Unicode"/>
        </w:rPr>
        <w:t xml:space="preserve">Por otra parte, la Alta Dirección revisará de manera anual las gestiones adelantadas por los responsables del Sistema de Gestión de la Seguridad y Salud en el Trabajo y comunicará al COPASST los avances y las sugerencias que en materia de Seguridad y Salud sean necesarias para el funcionamiento del Sistema </w:t>
      </w:r>
      <w:r w:rsidR="00AA2C65" w:rsidRPr="00B720D8">
        <w:rPr>
          <w:rFonts w:ascii="Lucida Sans Unicode" w:hAnsi="Lucida Sans Unicode" w:cs="Lucida Sans Unicode"/>
        </w:rPr>
        <w:t>el cual se plantean las actividades para una mejora continua.</w:t>
      </w:r>
    </w:p>
    <w:p w14:paraId="2B40D187" w14:textId="77777777" w:rsidR="00A76429" w:rsidRPr="00B720D8" w:rsidRDefault="00A76429" w:rsidP="00AA2C65">
      <w:pPr>
        <w:jc w:val="both"/>
        <w:rPr>
          <w:rFonts w:ascii="Lucida Sans Unicode" w:hAnsi="Lucida Sans Unicode" w:cs="Lucida Sans Unicode"/>
          <w:b/>
          <w:lang w:val="es-ES"/>
        </w:rPr>
      </w:pPr>
    </w:p>
    <w:p w14:paraId="08B8F6D3" w14:textId="7DEC1C5F" w:rsidR="007A7DF5" w:rsidRPr="00B720D8" w:rsidRDefault="00724329" w:rsidP="00AA2C65">
      <w:pPr>
        <w:jc w:val="both"/>
        <w:rPr>
          <w:rFonts w:ascii="Lucida Sans Unicode" w:hAnsi="Lucida Sans Unicode" w:cs="Lucida Sans Unicode"/>
          <w:b/>
          <w:lang w:val="es-ES"/>
        </w:rPr>
      </w:pPr>
      <w:r w:rsidRPr="00B720D8">
        <w:rPr>
          <w:rFonts w:ascii="Lucida Sans Unicode" w:hAnsi="Lucida Sans Unicode" w:cs="Lucida Sans Unicode"/>
          <w:b/>
          <w:lang w:val="es-ES"/>
        </w:rPr>
        <w:t>Anexo:</w:t>
      </w:r>
      <w:r w:rsidR="00BE5C3A" w:rsidRPr="00B720D8">
        <w:rPr>
          <w:rFonts w:ascii="Lucida Sans Unicode" w:hAnsi="Lucida Sans Unicode" w:cs="Lucida Sans Unicode"/>
          <w:b/>
          <w:lang w:val="es-ES"/>
        </w:rPr>
        <w:t xml:space="preserve"> </w:t>
      </w:r>
      <w:r w:rsidR="00BE5C3A" w:rsidRPr="00B720D8">
        <w:rPr>
          <w:rFonts w:ascii="Lucida Sans Unicode" w:hAnsi="Lucida Sans Unicode" w:cs="Lucida Sans Unicode"/>
          <w:lang w:val="es-ES"/>
        </w:rPr>
        <w:t xml:space="preserve">Adjunto documento Excel, donde se describen cada una de las actividades a realizar en el año en curso. </w:t>
      </w:r>
      <w:bookmarkStart w:id="0" w:name="_GoBack"/>
      <w:bookmarkEnd w:id="0"/>
    </w:p>
    <w:sectPr w:rsidR="007A7DF5" w:rsidRPr="00B720D8" w:rsidSect="00EB0DDC">
      <w:headerReference w:type="default" r:id="rId10"/>
      <w:footerReference w:type="default" r:id="rId11"/>
      <w:pgSz w:w="12240" w:h="15840"/>
      <w:pgMar w:top="913"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EF1D6" w14:textId="77777777" w:rsidR="000D54C0" w:rsidRDefault="000D54C0" w:rsidP="00984276">
      <w:r>
        <w:separator/>
      </w:r>
    </w:p>
  </w:endnote>
  <w:endnote w:type="continuationSeparator" w:id="0">
    <w:p w14:paraId="4846DAF5" w14:textId="77777777" w:rsidR="000D54C0" w:rsidRDefault="000D54C0" w:rsidP="0098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20DA" w14:textId="77777777" w:rsidR="00984276" w:rsidRDefault="00984276" w:rsidP="00984276"/>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0"/>
    </w:tblGrid>
    <w:tr w:rsidR="00984276" w14:paraId="50E26B49" w14:textId="77777777" w:rsidTr="009B7CB7">
      <w:tc>
        <w:tcPr>
          <w:tcW w:w="8830" w:type="dxa"/>
        </w:tcPr>
        <w:p w14:paraId="7A7B31EB" w14:textId="77777777" w:rsidR="00984276" w:rsidRPr="0080708F" w:rsidRDefault="00984276" w:rsidP="00984276">
          <w:pPr>
            <w:jc w:val="center"/>
            <w:rPr>
              <w:rFonts w:cs="Arial"/>
              <w:b/>
              <w:sz w:val="14"/>
              <w:szCs w:val="14"/>
              <w:lang w:val="es-CO"/>
            </w:rPr>
          </w:pPr>
          <w:r w:rsidRPr="0080708F">
            <w:rPr>
              <w:sz w:val="14"/>
              <w:szCs w:val="14"/>
            </w:rPr>
            <w:t>Este documento es propiedad del Instituto Nacional para Sordos, prohibida su reproducción sin previa autorización.</w:t>
          </w:r>
        </w:p>
        <w:p w14:paraId="633705B2" w14:textId="77777777" w:rsidR="00984276" w:rsidRPr="0080708F" w:rsidRDefault="00984276" w:rsidP="00984276">
          <w:pPr>
            <w:jc w:val="center"/>
            <w:rPr>
              <w:rFonts w:ascii="Arial Narrow" w:hAnsi="Arial Narrow"/>
              <w:sz w:val="16"/>
              <w:szCs w:val="16"/>
              <w:lang w:val="es-CO"/>
            </w:rPr>
          </w:pPr>
        </w:p>
      </w:tc>
    </w:tr>
  </w:tbl>
  <w:p w14:paraId="193A9F65" w14:textId="2014CF4E" w:rsidR="00984276" w:rsidRPr="00932EBA" w:rsidRDefault="00984276" w:rsidP="00984276">
    <w:pPr>
      <w:pStyle w:val="Piedepgina"/>
      <w:jc w:val="right"/>
    </w:pPr>
    <w:r w:rsidRPr="00806051">
      <w:rPr>
        <w:b/>
        <w:sz w:val="16"/>
        <w:szCs w:val="16"/>
      </w:rPr>
      <w:t xml:space="preserve">Página </w:t>
    </w:r>
    <w:r w:rsidRPr="00806051">
      <w:rPr>
        <w:b/>
        <w:sz w:val="16"/>
        <w:szCs w:val="16"/>
      </w:rPr>
      <w:fldChar w:fldCharType="begin"/>
    </w:r>
    <w:r w:rsidRPr="00806051">
      <w:rPr>
        <w:b/>
        <w:sz w:val="16"/>
        <w:szCs w:val="16"/>
      </w:rPr>
      <w:instrText>PAGE</w:instrText>
    </w:r>
    <w:r w:rsidRPr="00806051">
      <w:rPr>
        <w:b/>
        <w:sz w:val="16"/>
        <w:szCs w:val="16"/>
      </w:rPr>
      <w:fldChar w:fldCharType="separate"/>
    </w:r>
    <w:r w:rsidR="00B720D8">
      <w:rPr>
        <w:b/>
        <w:noProof/>
        <w:sz w:val="16"/>
        <w:szCs w:val="16"/>
      </w:rPr>
      <w:t>8</w:t>
    </w:r>
    <w:r w:rsidRPr="00806051">
      <w:rPr>
        <w:b/>
        <w:sz w:val="16"/>
        <w:szCs w:val="16"/>
      </w:rPr>
      <w:fldChar w:fldCharType="end"/>
    </w:r>
    <w:r w:rsidRPr="00806051">
      <w:rPr>
        <w:b/>
        <w:sz w:val="16"/>
        <w:szCs w:val="16"/>
      </w:rPr>
      <w:t xml:space="preserve"> de </w:t>
    </w:r>
    <w:r w:rsidRPr="00806051">
      <w:rPr>
        <w:b/>
        <w:sz w:val="16"/>
        <w:szCs w:val="16"/>
      </w:rPr>
      <w:fldChar w:fldCharType="begin"/>
    </w:r>
    <w:r w:rsidRPr="00806051">
      <w:rPr>
        <w:b/>
        <w:sz w:val="16"/>
        <w:szCs w:val="16"/>
      </w:rPr>
      <w:instrText>NUMPAGES</w:instrText>
    </w:r>
    <w:r w:rsidRPr="00806051">
      <w:rPr>
        <w:b/>
        <w:sz w:val="16"/>
        <w:szCs w:val="16"/>
      </w:rPr>
      <w:fldChar w:fldCharType="separate"/>
    </w:r>
    <w:r w:rsidR="00B720D8">
      <w:rPr>
        <w:b/>
        <w:noProof/>
        <w:sz w:val="16"/>
        <w:szCs w:val="16"/>
      </w:rPr>
      <w:t>8</w:t>
    </w:r>
    <w:r w:rsidRPr="00806051">
      <w:rPr>
        <w:b/>
        <w:sz w:val="16"/>
        <w:szCs w:val="16"/>
      </w:rPr>
      <w:fldChar w:fldCharType="end"/>
    </w:r>
  </w:p>
  <w:p w14:paraId="7901B14A" w14:textId="77777777" w:rsidR="00EE1112" w:rsidRDefault="00EE1112"/>
  <w:p w14:paraId="50FB6EA6" w14:textId="77777777" w:rsidR="00EE1112" w:rsidRDefault="00EE1112"/>
  <w:p w14:paraId="58D0BF6E" w14:textId="77777777" w:rsidR="00A40010" w:rsidRDefault="00A40010"/>
  <w:p w14:paraId="5B4CB2BB" w14:textId="77777777" w:rsidR="00A40010" w:rsidRDefault="00A40010"/>
  <w:p w14:paraId="28718C9F" w14:textId="77777777" w:rsidR="00A40010" w:rsidRDefault="00A400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33B1" w14:textId="77777777" w:rsidR="000D54C0" w:rsidRDefault="000D54C0" w:rsidP="00984276">
      <w:r>
        <w:separator/>
      </w:r>
    </w:p>
  </w:footnote>
  <w:footnote w:type="continuationSeparator" w:id="0">
    <w:p w14:paraId="3C2E5990" w14:textId="77777777" w:rsidR="000D54C0" w:rsidRDefault="000D54C0" w:rsidP="0098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4103"/>
      <w:gridCol w:w="2049"/>
    </w:tblGrid>
    <w:tr w:rsidR="00663989" w:rsidRPr="00285C05" w14:paraId="2AE6B9B1" w14:textId="77777777" w:rsidTr="00663989">
      <w:trPr>
        <w:trHeight w:val="454"/>
      </w:trPr>
      <w:tc>
        <w:tcPr>
          <w:tcW w:w="1105" w:type="pct"/>
          <w:vMerge w:val="restart"/>
          <w:tcBorders>
            <w:top w:val="single" w:sz="4" w:space="0" w:color="auto"/>
            <w:left w:val="single" w:sz="4" w:space="0" w:color="auto"/>
            <w:bottom w:val="single" w:sz="4" w:space="0" w:color="auto"/>
            <w:right w:val="single" w:sz="4" w:space="0" w:color="auto"/>
          </w:tcBorders>
          <w:hideMark/>
        </w:tcPr>
        <w:p w14:paraId="3338E97E" w14:textId="2AB355AE" w:rsidR="00663989" w:rsidRPr="00285C05" w:rsidRDefault="00A16546" w:rsidP="0057414E">
          <w:pPr>
            <w:pStyle w:val="Encabezado"/>
          </w:pPr>
          <w:r>
            <w:rPr>
              <w:rFonts w:ascii="Arial Narrow" w:hAnsi="Arial Narrow" w:cs="Arial"/>
              <w:noProof/>
              <w:sz w:val="12"/>
              <w:szCs w:val="12"/>
              <w:lang w:val="es-CO" w:eastAsia="es-CO"/>
            </w:rPr>
            <w:drawing>
              <wp:anchor distT="0" distB="0" distL="114300" distR="114300" simplePos="0" relativeHeight="251659264" behindDoc="0" locked="0" layoutInCell="1" allowOverlap="1" wp14:anchorId="3CEAC283" wp14:editId="6FC9B70A">
                <wp:simplePos x="0" y="0"/>
                <wp:positionH relativeFrom="column">
                  <wp:posOffset>19685</wp:posOffset>
                </wp:positionH>
                <wp:positionV relativeFrom="paragraph">
                  <wp:posOffset>38735</wp:posOffset>
                </wp:positionV>
                <wp:extent cx="1557020" cy="819150"/>
                <wp:effectExtent l="0" t="0" r="508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7020" cy="819150"/>
                        </a:xfrm>
                        <a:prstGeom prst="rect">
                          <a:avLst/>
                        </a:prstGeom>
                      </pic:spPr>
                    </pic:pic>
                  </a:graphicData>
                </a:graphic>
                <wp14:sizeRelH relativeFrom="page">
                  <wp14:pctWidth>0</wp14:pctWidth>
                </wp14:sizeRelH>
                <wp14:sizeRelV relativeFrom="page">
                  <wp14:pctHeight>0</wp14:pctHeight>
                </wp14:sizeRelV>
              </wp:anchor>
            </w:drawing>
          </w:r>
        </w:p>
      </w:tc>
      <w:tc>
        <w:tcPr>
          <w:tcW w:w="2734" w:type="pct"/>
          <w:vMerge w:val="restart"/>
          <w:tcBorders>
            <w:top w:val="single" w:sz="4" w:space="0" w:color="auto"/>
            <w:left w:val="single" w:sz="4" w:space="0" w:color="auto"/>
            <w:right w:val="single" w:sz="4" w:space="0" w:color="auto"/>
          </w:tcBorders>
          <w:vAlign w:val="center"/>
          <w:hideMark/>
        </w:tcPr>
        <w:p w14:paraId="29625BD2" w14:textId="77777777" w:rsidR="00663989" w:rsidRPr="00285C05" w:rsidRDefault="00663989" w:rsidP="0057414E">
          <w:pPr>
            <w:pStyle w:val="Encabezado"/>
            <w:jc w:val="center"/>
            <w:rPr>
              <w:rFonts w:cs="Arial"/>
              <w:sz w:val="24"/>
            </w:rPr>
          </w:pPr>
          <w:r w:rsidRPr="00285C05">
            <w:rPr>
              <w:rFonts w:cs="Arial"/>
              <w:b/>
              <w:sz w:val="24"/>
            </w:rPr>
            <w:t>PROCESO</w:t>
          </w:r>
          <w:r>
            <w:rPr>
              <w:rFonts w:cs="Arial"/>
              <w:b/>
              <w:sz w:val="24"/>
            </w:rPr>
            <w:t xml:space="preserve"> GESTION DE TALENTO HUMANO</w:t>
          </w:r>
        </w:p>
        <w:p w14:paraId="3D6940FC" w14:textId="15B7FA7B" w:rsidR="00663989" w:rsidRPr="00285C05" w:rsidRDefault="00663989" w:rsidP="00E353A3">
          <w:pPr>
            <w:rPr>
              <w:rFonts w:cs="Arial"/>
            </w:rPr>
          </w:pPr>
          <w:r>
            <w:rPr>
              <w:rFonts w:ascii="Verdana" w:hAnsi="Verdana" w:cs="Arial"/>
              <w:b/>
              <w:lang w:val="es-ES" w:eastAsia="es-ES"/>
            </w:rPr>
            <w:t xml:space="preserve">  </w:t>
          </w:r>
        </w:p>
      </w:tc>
      <w:tc>
        <w:tcPr>
          <w:tcW w:w="1161" w:type="pct"/>
          <w:tcBorders>
            <w:top w:val="single" w:sz="4" w:space="0" w:color="auto"/>
            <w:left w:val="single" w:sz="4" w:space="0" w:color="auto"/>
            <w:bottom w:val="single" w:sz="4" w:space="0" w:color="auto"/>
            <w:right w:val="single" w:sz="4" w:space="0" w:color="auto"/>
          </w:tcBorders>
          <w:vAlign w:val="center"/>
          <w:hideMark/>
        </w:tcPr>
        <w:p w14:paraId="09EED825" w14:textId="77777777" w:rsidR="00663989" w:rsidRPr="00285C05" w:rsidRDefault="00663989" w:rsidP="0057414E">
          <w:pPr>
            <w:pStyle w:val="Encabezado"/>
            <w:rPr>
              <w:rFonts w:cs="Arial"/>
            </w:rPr>
          </w:pPr>
          <w:r w:rsidRPr="00285C05">
            <w:rPr>
              <w:rFonts w:cs="Arial"/>
              <w:sz w:val="18"/>
              <w:szCs w:val="18"/>
            </w:rPr>
            <w:t>CÓDIGO: PRXX</w:t>
          </w:r>
        </w:p>
      </w:tc>
    </w:tr>
    <w:tr w:rsidR="00663989" w:rsidRPr="00285C05" w14:paraId="4A6D11F2" w14:textId="77777777" w:rsidTr="00663989">
      <w:trPr>
        <w:trHeight w:val="454"/>
      </w:trPr>
      <w:tc>
        <w:tcPr>
          <w:tcW w:w="1105" w:type="pct"/>
          <w:vMerge/>
          <w:tcBorders>
            <w:top w:val="single" w:sz="4" w:space="0" w:color="auto"/>
            <w:left w:val="single" w:sz="4" w:space="0" w:color="auto"/>
            <w:bottom w:val="single" w:sz="4" w:space="0" w:color="auto"/>
            <w:right w:val="single" w:sz="4" w:space="0" w:color="auto"/>
          </w:tcBorders>
          <w:vAlign w:val="center"/>
          <w:hideMark/>
        </w:tcPr>
        <w:p w14:paraId="706E8241" w14:textId="77777777" w:rsidR="00663989" w:rsidRPr="00285C05" w:rsidRDefault="00663989" w:rsidP="0057414E">
          <w:pPr>
            <w:rPr>
              <w:rFonts w:ascii="Verdana" w:hAnsi="Verdana"/>
              <w:lang w:val="es-ES" w:eastAsia="es-ES"/>
            </w:rPr>
          </w:pPr>
        </w:p>
      </w:tc>
      <w:tc>
        <w:tcPr>
          <w:tcW w:w="2734" w:type="pct"/>
          <w:vMerge/>
          <w:tcBorders>
            <w:left w:val="single" w:sz="4" w:space="0" w:color="auto"/>
            <w:right w:val="single" w:sz="4" w:space="0" w:color="auto"/>
          </w:tcBorders>
          <w:vAlign w:val="center"/>
          <w:hideMark/>
        </w:tcPr>
        <w:p w14:paraId="5A87F857" w14:textId="39D75A82" w:rsidR="00663989" w:rsidRPr="00A13DDD" w:rsidRDefault="00663989" w:rsidP="00E353A3">
          <w:pPr>
            <w:rPr>
              <w:rFonts w:ascii="Verdana" w:hAnsi="Verdana" w:cs="Arial"/>
              <w:lang w:val="es-ES" w:eastAsia="es-ES"/>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2D4EFDD8" w14:textId="77777777" w:rsidR="00663989" w:rsidRPr="00285C05" w:rsidRDefault="00663989" w:rsidP="0057414E">
          <w:pPr>
            <w:pStyle w:val="Encabezado"/>
            <w:rPr>
              <w:rFonts w:cs="Arial"/>
            </w:rPr>
          </w:pPr>
          <w:r>
            <w:rPr>
              <w:rFonts w:cs="Arial"/>
              <w:sz w:val="18"/>
              <w:szCs w:val="18"/>
            </w:rPr>
            <w:t>VERSIÓN:XXX</w:t>
          </w:r>
        </w:p>
      </w:tc>
    </w:tr>
    <w:tr w:rsidR="00663989" w:rsidRPr="00285C05" w14:paraId="3666D2A0" w14:textId="77777777" w:rsidTr="00663989">
      <w:trPr>
        <w:trHeight w:val="454"/>
      </w:trPr>
      <w:tc>
        <w:tcPr>
          <w:tcW w:w="1105" w:type="pct"/>
          <w:vMerge/>
          <w:tcBorders>
            <w:top w:val="single" w:sz="4" w:space="0" w:color="auto"/>
            <w:left w:val="single" w:sz="4" w:space="0" w:color="auto"/>
            <w:bottom w:val="single" w:sz="4" w:space="0" w:color="auto"/>
            <w:right w:val="single" w:sz="4" w:space="0" w:color="auto"/>
          </w:tcBorders>
          <w:vAlign w:val="center"/>
          <w:hideMark/>
        </w:tcPr>
        <w:p w14:paraId="55565FE2" w14:textId="77777777" w:rsidR="00663989" w:rsidRPr="00285C05" w:rsidRDefault="00663989" w:rsidP="0057414E">
          <w:pPr>
            <w:rPr>
              <w:rFonts w:ascii="Verdana" w:hAnsi="Verdana"/>
              <w:lang w:val="es-ES" w:eastAsia="es-ES"/>
            </w:rPr>
          </w:pPr>
        </w:p>
      </w:tc>
      <w:tc>
        <w:tcPr>
          <w:tcW w:w="2734" w:type="pct"/>
          <w:vMerge/>
          <w:tcBorders>
            <w:left w:val="single" w:sz="4" w:space="0" w:color="auto"/>
            <w:bottom w:val="single" w:sz="4" w:space="0" w:color="auto"/>
            <w:right w:val="single" w:sz="4" w:space="0" w:color="auto"/>
          </w:tcBorders>
          <w:vAlign w:val="center"/>
          <w:hideMark/>
        </w:tcPr>
        <w:p w14:paraId="6DA93B50" w14:textId="77777777" w:rsidR="00663989" w:rsidRPr="00285C05" w:rsidRDefault="00663989" w:rsidP="0057414E">
          <w:pPr>
            <w:jc w:val="center"/>
            <w:rPr>
              <w:rFonts w:ascii="Verdana" w:hAnsi="Verdana" w:cs="Arial"/>
              <w:b/>
              <w:lang w:val="es-ES" w:eastAsia="es-ES"/>
            </w:rPr>
          </w:pPr>
        </w:p>
      </w:tc>
      <w:tc>
        <w:tcPr>
          <w:tcW w:w="1161" w:type="pct"/>
          <w:tcBorders>
            <w:top w:val="single" w:sz="4" w:space="0" w:color="auto"/>
            <w:left w:val="single" w:sz="4" w:space="0" w:color="auto"/>
            <w:bottom w:val="single" w:sz="4" w:space="0" w:color="auto"/>
            <w:right w:val="single" w:sz="4" w:space="0" w:color="auto"/>
          </w:tcBorders>
          <w:vAlign w:val="center"/>
          <w:hideMark/>
        </w:tcPr>
        <w:p w14:paraId="10556094" w14:textId="77777777" w:rsidR="00663989" w:rsidRPr="00285C05" w:rsidRDefault="00663989" w:rsidP="0057414E">
          <w:pPr>
            <w:pStyle w:val="Encabezado"/>
            <w:rPr>
              <w:rFonts w:cs="Arial"/>
            </w:rPr>
          </w:pPr>
          <w:r w:rsidRPr="00285C05">
            <w:rPr>
              <w:rFonts w:cs="Arial"/>
              <w:sz w:val="18"/>
              <w:szCs w:val="18"/>
            </w:rPr>
            <w:t>FECHA:XX/XX/XXXX</w:t>
          </w:r>
        </w:p>
      </w:tc>
    </w:tr>
  </w:tbl>
  <w:p w14:paraId="21AB1B32" w14:textId="77777777" w:rsidR="00A40010" w:rsidRDefault="00A400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B01"/>
    <w:multiLevelType w:val="hybridMultilevel"/>
    <w:tmpl w:val="0A12C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4C31A8"/>
    <w:multiLevelType w:val="hybridMultilevel"/>
    <w:tmpl w:val="0CB016F2"/>
    <w:lvl w:ilvl="0" w:tplc="240A000D">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CDD3756"/>
    <w:multiLevelType w:val="hybridMultilevel"/>
    <w:tmpl w:val="3D08C1F2"/>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5A6DEB"/>
    <w:multiLevelType w:val="hybridMultilevel"/>
    <w:tmpl w:val="36548568"/>
    <w:lvl w:ilvl="0" w:tplc="C29A14B4">
      <w:numFmt w:val="bullet"/>
      <w:lvlText w:val="•"/>
      <w:lvlJc w:val="left"/>
      <w:pPr>
        <w:ind w:left="720" w:hanging="360"/>
      </w:pPr>
      <w:rPr>
        <w:rFonts w:ascii="Verdana" w:eastAsia="Verdana"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3402A4"/>
    <w:multiLevelType w:val="hybridMultilevel"/>
    <w:tmpl w:val="7AC66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9368EE"/>
    <w:multiLevelType w:val="hybridMultilevel"/>
    <w:tmpl w:val="ED52E6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E522F1"/>
    <w:multiLevelType w:val="hybridMultilevel"/>
    <w:tmpl w:val="A656DA2E"/>
    <w:lvl w:ilvl="0" w:tplc="28FEF57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602F14"/>
    <w:multiLevelType w:val="hybridMultilevel"/>
    <w:tmpl w:val="2CD0A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F557F8"/>
    <w:multiLevelType w:val="hybridMultilevel"/>
    <w:tmpl w:val="8D1A969A"/>
    <w:lvl w:ilvl="0" w:tplc="C29A14B4">
      <w:numFmt w:val="bullet"/>
      <w:lvlText w:val="•"/>
      <w:lvlJc w:val="left"/>
      <w:pPr>
        <w:ind w:left="720" w:hanging="360"/>
      </w:pPr>
      <w:rPr>
        <w:rFonts w:ascii="Verdana" w:eastAsia="Verdana"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2D7414"/>
    <w:multiLevelType w:val="hybridMultilevel"/>
    <w:tmpl w:val="DB6C4F9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AD36F4"/>
    <w:multiLevelType w:val="hybridMultilevel"/>
    <w:tmpl w:val="1CFAE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0D2275"/>
    <w:multiLevelType w:val="hybridMultilevel"/>
    <w:tmpl w:val="35264F56"/>
    <w:lvl w:ilvl="0" w:tplc="5582EAE6">
      <w:numFmt w:val="bullet"/>
      <w:lvlText w:val="-"/>
      <w:lvlJc w:val="left"/>
      <w:pPr>
        <w:ind w:left="1069" w:hanging="360"/>
      </w:pPr>
      <w:rPr>
        <w:rFonts w:ascii="Times New Roman" w:eastAsia="Times New Roman" w:hAnsi="Times New Roman" w:cs="Times New Roman" w:hint="default"/>
        <w:b/>
      </w:rPr>
    </w:lvl>
    <w:lvl w:ilvl="1" w:tplc="240A0003" w:tentative="1">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2" w15:restartNumberingAfterBreak="0">
    <w:nsid w:val="3550797A"/>
    <w:multiLevelType w:val="hybridMultilevel"/>
    <w:tmpl w:val="55620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570003"/>
    <w:multiLevelType w:val="hybridMultilevel"/>
    <w:tmpl w:val="3C725A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AB271A"/>
    <w:multiLevelType w:val="hybridMultilevel"/>
    <w:tmpl w:val="E00851D8"/>
    <w:lvl w:ilvl="0" w:tplc="240A000D">
      <w:start w:val="1"/>
      <w:numFmt w:val="bullet"/>
      <w:lvlText w:val=""/>
      <w:lvlJc w:val="left"/>
      <w:pPr>
        <w:ind w:left="1485" w:hanging="360"/>
      </w:pPr>
      <w:rPr>
        <w:rFonts w:ascii="Wingdings" w:hAnsi="Wingdings" w:hint="default"/>
      </w:rPr>
    </w:lvl>
    <w:lvl w:ilvl="1" w:tplc="1D7ED4CE">
      <w:start w:val="5"/>
      <w:numFmt w:val="bullet"/>
      <w:lvlText w:val="•"/>
      <w:lvlJc w:val="left"/>
      <w:pPr>
        <w:ind w:left="2205" w:hanging="360"/>
      </w:pPr>
      <w:rPr>
        <w:rFonts w:ascii="Verdana" w:eastAsiaTheme="minorHAnsi" w:hAnsi="Verdana" w:cstheme="minorBidi"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15" w15:restartNumberingAfterBreak="0">
    <w:nsid w:val="483A0EDA"/>
    <w:multiLevelType w:val="hybridMultilevel"/>
    <w:tmpl w:val="0B4010A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8797E55"/>
    <w:multiLevelType w:val="hybridMultilevel"/>
    <w:tmpl w:val="0AD6FE5A"/>
    <w:lvl w:ilvl="0" w:tplc="12604D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3C4A48"/>
    <w:multiLevelType w:val="hybridMultilevel"/>
    <w:tmpl w:val="275A0B34"/>
    <w:lvl w:ilvl="0" w:tplc="0BF29E28">
      <w:start w:val="1"/>
      <w:numFmt w:val="decimal"/>
      <w:lvlText w:val="%1."/>
      <w:lvlJc w:val="left"/>
      <w:pPr>
        <w:ind w:left="786" w:hanging="360"/>
      </w:pPr>
      <w:rPr>
        <w:rFonts w:asciiTheme="minorHAnsi" w:hAnsiTheme="minorHAnsi" w:hint="default"/>
        <w:b/>
        <w:sz w:val="18"/>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4A4E5328"/>
    <w:multiLevelType w:val="hybridMultilevel"/>
    <w:tmpl w:val="BF9AE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152EF5"/>
    <w:multiLevelType w:val="hybridMultilevel"/>
    <w:tmpl w:val="E3A83DAC"/>
    <w:lvl w:ilvl="0" w:tplc="F3FA3D60">
      <w:start w:val="1"/>
      <w:numFmt w:val="decimal"/>
      <w:lvlText w:val="%1."/>
      <w:lvlJc w:val="left"/>
      <w:pPr>
        <w:ind w:left="720" w:hanging="360"/>
      </w:pPr>
      <w:rPr>
        <w:rFonts w:ascii="Tahoma" w:hAnsi="Tahoma" w:cs="Tahoma"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B5951F7"/>
    <w:multiLevelType w:val="multilevel"/>
    <w:tmpl w:val="907C5CA8"/>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21" w15:restartNumberingAfterBreak="0">
    <w:nsid w:val="4DB42FCF"/>
    <w:multiLevelType w:val="hybridMultilevel"/>
    <w:tmpl w:val="A67E9EC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9026049"/>
    <w:multiLevelType w:val="hybridMultilevel"/>
    <w:tmpl w:val="3C725A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427446"/>
    <w:multiLevelType w:val="hybridMultilevel"/>
    <w:tmpl w:val="3C725A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2A4473"/>
    <w:multiLevelType w:val="hybridMultilevel"/>
    <w:tmpl w:val="D5BC0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0914FC"/>
    <w:multiLevelType w:val="hybridMultilevel"/>
    <w:tmpl w:val="69F8EE1A"/>
    <w:lvl w:ilvl="0" w:tplc="1E9A451E">
      <w:start w:val="1"/>
      <w:numFmt w:val="decimal"/>
      <w:lvlText w:val="%1."/>
      <w:lvlJc w:val="left"/>
      <w:pPr>
        <w:ind w:left="92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EE4242"/>
    <w:multiLevelType w:val="hybridMultilevel"/>
    <w:tmpl w:val="1DF48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6D2D36"/>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EA55E00"/>
    <w:multiLevelType w:val="hybridMultilevel"/>
    <w:tmpl w:val="B8F4FC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8F6D65"/>
    <w:multiLevelType w:val="hybridMultilevel"/>
    <w:tmpl w:val="22F0A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13"/>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29"/>
  </w:num>
  <w:num w:numId="10">
    <w:abstractNumId w:val="20"/>
  </w:num>
  <w:num w:numId="11">
    <w:abstractNumId w:val="27"/>
  </w:num>
  <w:num w:numId="12">
    <w:abstractNumId w:val="1"/>
  </w:num>
  <w:num w:numId="13">
    <w:abstractNumId w:val="19"/>
  </w:num>
  <w:num w:numId="14">
    <w:abstractNumId w:val="9"/>
  </w:num>
  <w:num w:numId="15">
    <w:abstractNumId w:val="10"/>
  </w:num>
  <w:num w:numId="16">
    <w:abstractNumId w:val="5"/>
  </w:num>
  <w:num w:numId="17">
    <w:abstractNumId w:val="26"/>
  </w:num>
  <w:num w:numId="18">
    <w:abstractNumId w:val="4"/>
  </w:num>
  <w:num w:numId="19">
    <w:abstractNumId w:val="0"/>
  </w:num>
  <w:num w:numId="20">
    <w:abstractNumId w:val="24"/>
  </w:num>
  <w:num w:numId="21">
    <w:abstractNumId w:val="7"/>
  </w:num>
  <w:num w:numId="22">
    <w:abstractNumId w:val="12"/>
  </w:num>
  <w:num w:numId="23">
    <w:abstractNumId w:val="14"/>
  </w:num>
  <w:num w:numId="24">
    <w:abstractNumId w:val="21"/>
  </w:num>
  <w:num w:numId="25">
    <w:abstractNumId w:val="8"/>
  </w:num>
  <w:num w:numId="26">
    <w:abstractNumId w:val="3"/>
  </w:num>
  <w:num w:numId="27">
    <w:abstractNumId w:val="16"/>
  </w:num>
  <w:num w:numId="28">
    <w:abstractNumId w:val="28"/>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76"/>
    <w:rsid w:val="00004477"/>
    <w:rsid w:val="00004F8B"/>
    <w:rsid w:val="00017285"/>
    <w:rsid w:val="00026708"/>
    <w:rsid w:val="00033561"/>
    <w:rsid w:val="00033952"/>
    <w:rsid w:val="000409DA"/>
    <w:rsid w:val="00054D8C"/>
    <w:rsid w:val="00070F9A"/>
    <w:rsid w:val="0007101D"/>
    <w:rsid w:val="00077904"/>
    <w:rsid w:val="00077973"/>
    <w:rsid w:val="000935AE"/>
    <w:rsid w:val="000D54C0"/>
    <w:rsid w:val="001127AB"/>
    <w:rsid w:val="00123001"/>
    <w:rsid w:val="00177DC4"/>
    <w:rsid w:val="001860B3"/>
    <w:rsid w:val="00293D8D"/>
    <w:rsid w:val="002B2957"/>
    <w:rsid w:val="002C067C"/>
    <w:rsid w:val="0032322B"/>
    <w:rsid w:val="00325816"/>
    <w:rsid w:val="00345F8B"/>
    <w:rsid w:val="00370E6D"/>
    <w:rsid w:val="00376E9F"/>
    <w:rsid w:val="003A64C0"/>
    <w:rsid w:val="003E4F35"/>
    <w:rsid w:val="004343F9"/>
    <w:rsid w:val="00454E61"/>
    <w:rsid w:val="00530A1F"/>
    <w:rsid w:val="00534B6E"/>
    <w:rsid w:val="0056359A"/>
    <w:rsid w:val="0057414E"/>
    <w:rsid w:val="00592716"/>
    <w:rsid w:val="005968F5"/>
    <w:rsid w:val="005B55B2"/>
    <w:rsid w:val="006038B7"/>
    <w:rsid w:val="006409E5"/>
    <w:rsid w:val="0065239B"/>
    <w:rsid w:val="00652CB5"/>
    <w:rsid w:val="00663989"/>
    <w:rsid w:val="006710EA"/>
    <w:rsid w:val="006D191B"/>
    <w:rsid w:val="006F199B"/>
    <w:rsid w:val="00724329"/>
    <w:rsid w:val="007520B1"/>
    <w:rsid w:val="007A7DF5"/>
    <w:rsid w:val="007C0AF2"/>
    <w:rsid w:val="007D4AA7"/>
    <w:rsid w:val="00861FFB"/>
    <w:rsid w:val="00864755"/>
    <w:rsid w:val="008B066E"/>
    <w:rsid w:val="008B238A"/>
    <w:rsid w:val="008B74C9"/>
    <w:rsid w:val="00901F8F"/>
    <w:rsid w:val="00914A37"/>
    <w:rsid w:val="00931369"/>
    <w:rsid w:val="00936C2E"/>
    <w:rsid w:val="009410E4"/>
    <w:rsid w:val="00951D5D"/>
    <w:rsid w:val="009660FC"/>
    <w:rsid w:val="00984276"/>
    <w:rsid w:val="00985D7C"/>
    <w:rsid w:val="009C457C"/>
    <w:rsid w:val="009F109A"/>
    <w:rsid w:val="009F4F25"/>
    <w:rsid w:val="00A106EB"/>
    <w:rsid w:val="00A15306"/>
    <w:rsid w:val="00A16546"/>
    <w:rsid w:val="00A23C65"/>
    <w:rsid w:val="00A31C94"/>
    <w:rsid w:val="00A40010"/>
    <w:rsid w:val="00A51034"/>
    <w:rsid w:val="00A55375"/>
    <w:rsid w:val="00A63069"/>
    <w:rsid w:val="00A76429"/>
    <w:rsid w:val="00AA2C65"/>
    <w:rsid w:val="00AC2645"/>
    <w:rsid w:val="00AC5F53"/>
    <w:rsid w:val="00AE3AA0"/>
    <w:rsid w:val="00B1127A"/>
    <w:rsid w:val="00B33CAA"/>
    <w:rsid w:val="00B639E8"/>
    <w:rsid w:val="00B659AB"/>
    <w:rsid w:val="00B70713"/>
    <w:rsid w:val="00B71646"/>
    <w:rsid w:val="00B720D8"/>
    <w:rsid w:val="00B806F5"/>
    <w:rsid w:val="00B84981"/>
    <w:rsid w:val="00BA39E6"/>
    <w:rsid w:val="00BC1638"/>
    <w:rsid w:val="00BC2034"/>
    <w:rsid w:val="00BE5C3A"/>
    <w:rsid w:val="00C019BA"/>
    <w:rsid w:val="00C13337"/>
    <w:rsid w:val="00C133CC"/>
    <w:rsid w:val="00C16BFE"/>
    <w:rsid w:val="00C41A7B"/>
    <w:rsid w:val="00C4236C"/>
    <w:rsid w:val="00C57D7E"/>
    <w:rsid w:val="00C637DE"/>
    <w:rsid w:val="00C65D81"/>
    <w:rsid w:val="00C65DC5"/>
    <w:rsid w:val="00C660B6"/>
    <w:rsid w:val="00C66D60"/>
    <w:rsid w:val="00C72319"/>
    <w:rsid w:val="00C74679"/>
    <w:rsid w:val="00CB2149"/>
    <w:rsid w:val="00CC6C84"/>
    <w:rsid w:val="00CD5640"/>
    <w:rsid w:val="00CE04EA"/>
    <w:rsid w:val="00CE3E49"/>
    <w:rsid w:val="00D14912"/>
    <w:rsid w:val="00D16EA6"/>
    <w:rsid w:val="00D557D0"/>
    <w:rsid w:val="00D5673F"/>
    <w:rsid w:val="00D673FA"/>
    <w:rsid w:val="00D76578"/>
    <w:rsid w:val="00DA1B4E"/>
    <w:rsid w:val="00DA2E4F"/>
    <w:rsid w:val="00DC2F3F"/>
    <w:rsid w:val="00DE0EA4"/>
    <w:rsid w:val="00DF2598"/>
    <w:rsid w:val="00DF3A01"/>
    <w:rsid w:val="00DF761D"/>
    <w:rsid w:val="00E11D91"/>
    <w:rsid w:val="00E158B7"/>
    <w:rsid w:val="00E2785A"/>
    <w:rsid w:val="00E353A3"/>
    <w:rsid w:val="00E50F52"/>
    <w:rsid w:val="00E77700"/>
    <w:rsid w:val="00E83233"/>
    <w:rsid w:val="00E9329A"/>
    <w:rsid w:val="00E951DD"/>
    <w:rsid w:val="00E96F0E"/>
    <w:rsid w:val="00EB0DDC"/>
    <w:rsid w:val="00EE1112"/>
    <w:rsid w:val="00EF35B9"/>
    <w:rsid w:val="00F27471"/>
    <w:rsid w:val="00F9479D"/>
    <w:rsid w:val="00FB52DC"/>
    <w:rsid w:val="00FC7BB6"/>
    <w:rsid w:val="00FF5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18CA"/>
  <w15:chartTrackingRefBased/>
  <w15:docId w15:val="{26BA55EA-DF1F-4D46-9FAA-97AAD7F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76"/>
    <w:pPr>
      <w:spacing w:after="0" w:line="240" w:lineRule="auto"/>
    </w:pPr>
  </w:style>
  <w:style w:type="paragraph" w:styleId="Ttulo2">
    <w:name w:val="heading 2"/>
    <w:basedOn w:val="Normal"/>
    <w:next w:val="Normal"/>
    <w:link w:val="Ttulo2Car"/>
    <w:uiPriority w:val="9"/>
    <w:unhideWhenUsed/>
    <w:qFormat/>
    <w:rsid w:val="00C74679"/>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rsid w:val="00984276"/>
    <w:pPr>
      <w:tabs>
        <w:tab w:val="center" w:pos="4252"/>
        <w:tab w:val="right" w:pos="8504"/>
      </w:tabs>
      <w:jc w:val="both"/>
    </w:pPr>
    <w:rPr>
      <w:rFonts w:ascii="Verdana" w:eastAsia="Times New Roman" w:hAnsi="Verdana" w:cs="Times New Roman"/>
      <w:szCs w:val="24"/>
      <w:lang w:val="es-ES" w:eastAsia="es-ES"/>
    </w:rPr>
  </w:style>
  <w:style w:type="character" w:customStyle="1" w:styleId="EncabezadoCar">
    <w:name w:val="Encabezado Car"/>
    <w:aliases w:val="Encabezado 1 Car"/>
    <w:basedOn w:val="Fuentedeprrafopredeter"/>
    <w:link w:val="Encabezado"/>
    <w:uiPriority w:val="99"/>
    <w:rsid w:val="00984276"/>
    <w:rPr>
      <w:rFonts w:ascii="Verdana" w:eastAsia="Times New Roman" w:hAnsi="Verdana" w:cs="Times New Roman"/>
      <w:szCs w:val="24"/>
      <w:lang w:val="es-ES" w:eastAsia="es-ES"/>
    </w:rPr>
  </w:style>
  <w:style w:type="paragraph" w:styleId="Piedepgina">
    <w:name w:val="footer"/>
    <w:basedOn w:val="Normal"/>
    <w:link w:val="PiedepginaCar"/>
    <w:uiPriority w:val="99"/>
    <w:unhideWhenUsed/>
    <w:rsid w:val="00984276"/>
    <w:pPr>
      <w:tabs>
        <w:tab w:val="center" w:pos="4419"/>
        <w:tab w:val="right" w:pos="8838"/>
      </w:tabs>
    </w:pPr>
  </w:style>
  <w:style w:type="character" w:customStyle="1" w:styleId="PiedepginaCar">
    <w:name w:val="Pie de página Car"/>
    <w:basedOn w:val="Fuentedeprrafopredeter"/>
    <w:link w:val="Piedepgina"/>
    <w:uiPriority w:val="99"/>
    <w:rsid w:val="00984276"/>
  </w:style>
  <w:style w:type="table" w:styleId="Tablaconcuadrcula">
    <w:name w:val="Table Grid"/>
    <w:basedOn w:val="Tablanormal"/>
    <w:rsid w:val="0098427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6F199B"/>
    <w:pPr>
      <w:ind w:left="720"/>
      <w:contextualSpacing/>
    </w:pPr>
  </w:style>
  <w:style w:type="paragraph" w:styleId="Textoindependiente">
    <w:name w:val="Body Text"/>
    <w:basedOn w:val="Normal"/>
    <w:link w:val="TextoindependienteCar"/>
    <w:uiPriority w:val="1"/>
    <w:qFormat/>
    <w:rsid w:val="00C74679"/>
    <w:pPr>
      <w:widowControl w:val="0"/>
      <w:autoSpaceDE w:val="0"/>
      <w:autoSpaceDN w:val="0"/>
    </w:pPr>
    <w:rPr>
      <w:rFonts w:ascii="Verdana" w:eastAsia="Verdana" w:hAnsi="Verdana" w:cs="Verdana"/>
      <w:lang w:val="es-ES" w:eastAsia="es-ES" w:bidi="es-ES"/>
    </w:rPr>
  </w:style>
  <w:style w:type="character" w:customStyle="1" w:styleId="TextoindependienteCar">
    <w:name w:val="Texto independiente Car"/>
    <w:basedOn w:val="Fuentedeprrafopredeter"/>
    <w:link w:val="Textoindependiente"/>
    <w:uiPriority w:val="1"/>
    <w:rsid w:val="00C74679"/>
    <w:rPr>
      <w:rFonts w:ascii="Verdana" w:eastAsia="Verdana" w:hAnsi="Verdana" w:cs="Verdana"/>
      <w:lang w:val="es-ES" w:eastAsia="es-ES" w:bidi="es-ES"/>
    </w:rPr>
  </w:style>
  <w:style w:type="paragraph" w:styleId="Sinespaciado">
    <w:name w:val="No Spacing"/>
    <w:uiPriority w:val="1"/>
    <w:qFormat/>
    <w:rsid w:val="00C74679"/>
    <w:pPr>
      <w:widowControl w:val="0"/>
      <w:autoSpaceDE w:val="0"/>
      <w:autoSpaceDN w:val="0"/>
      <w:spacing w:after="0" w:line="240" w:lineRule="auto"/>
    </w:pPr>
    <w:rPr>
      <w:rFonts w:ascii="Verdana" w:eastAsia="Verdana" w:hAnsi="Verdana" w:cs="Verdana"/>
      <w:lang w:val="es-ES" w:eastAsia="es-ES" w:bidi="es-ES"/>
    </w:rPr>
  </w:style>
  <w:style w:type="character" w:customStyle="1" w:styleId="Ttulo2Car">
    <w:name w:val="Título 2 Car"/>
    <w:basedOn w:val="Fuentedeprrafopredeter"/>
    <w:link w:val="Ttulo2"/>
    <w:uiPriority w:val="9"/>
    <w:rsid w:val="00C74679"/>
    <w:rPr>
      <w:rFonts w:asciiTheme="majorHAnsi" w:eastAsiaTheme="majorEastAsia" w:hAnsiTheme="majorHAnsi" w:cstheme="majorBidi"/>
      <w:color w:val="2F5496" w:themeColor="accent1" w:themeShade="BF"/>
      <w:sz w:val="26"/>
      <w:szCs w:val="26"/>
      <w:lang w:val="es-ES" w:eastAsia="es-ES" w:bidi="es-ES"/>
    </w:rPr>
  </w:style>
  <w:style w:type="character" w:styleId="Refdecomentario">
    <w:name w:val="annotation reference"/>
    <w:basedOn w:val="Fuentedeprrafopredeter"/>
    <w:uiPriority w:val="99"/>
    <w:semiHidden/>
    <w:unhideWhenUsed/>
    <w:rsid w:val="00370E6D"/>
    <w:rPr>
      <w:sz w:val="16"/>
      <w:szCs w:val="16"/>
    </w:rPr>
  </w:style>
  <w:style w:type="paragraph" w:styleId="Textocomentario">
    <w:name w:val="annotation text"/>
    <w:basedOn w:val="Normal"/>
    <w:link w:val="TextocomentarioCar"/>
    <w:uiPriority w:val="99"/>
    <w:semiHidden/>
    <w:unhideWhenUsed/>
    <w:rsid w:val="00370E6D"/>
    <w:rPr>
      <w:sz w:val="20"/>
      <w:szCs w:val="20"/>
    </w:rPr>
  </w:style>
  <w:style w:type="character" w:customStyle="1" w:styleId="TextocomentarioCar">
    <w:name w:val="Texto comentario Car"/>
    <w:basedOn w:val="Fuentedeprrafopredeter"/>
    <w:link w:val="Textocomentario"/>
    <w:uiPriority w:val="99"/>
    <w:semiHidden/>
    <w:rsid w:val="00370E6D"/>
    <w:rPr>
      <w:sz w:val="20"/>
      <w:szCs w:val="20"/>
    </w:rPr>
  </w:style>
  <w:style w:type="paragraph" w:styleId="Asuntodelcomentario">
    <w:name w:val="annotation subject"/>
    <w:basedOn w:val="Textocomentario"/>
    <w:next w:val="Textocomentario"/>
    <w:link w:val="AsuntodelcomentarioCar"/>
    <w:uiPriority w:val="99"/>
    <w:semiHidden/>
    <w:unhideWhenUsed/>
    <w:rsid w:val="00370E6D"/>
    <w:rPr>
      <w:b/>
      <w:bCs/>
    </w:rPr>
  </w:style>
  <w:style w:type="character" w:customStyle="1" w:styleId="AsuntodelcomentarioCar">
    <w:name w:val="Asunto del comentario Car"/>
    <w:basedOn w:val="TextocomentarioCar"/>
    <w:link w:val="Asuntodelcomentario"/>
    <w:uiPriority w:val="99"/>
    <w:semiHidden/>
    <w:rsid w:val="00370E6D"/>
    <w:rPr>
      <w:b/>
      <w:bCs/>
      <w:sz w:val="20"/>
      <w:szCs w:val="20"/>
    </w:rPr>
  </w:style>
  <w:style w:type="paragraph" w:styleId="Textodeglobo">
    <w:name w:val="Balloon Text"/>
    <w:basedOn w:val="Normal"/>
    <w:link w:val="TextodegloboCar"/>
    <w:uiPriority w:val="99"/>
    <w:semiHidden/>
    <w:unhideWhenUsed/>
    <w:rsid w:val="00370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853">
      <w:bodyDiv w:val="1"/>
      <w:marLeft w:val="0"/>
      <w:marRight w:val="0"/>
      <w:marTop w:val="0"/>
      <w:marBottom w:val="0"/>
      <w:divBdr>
        <w:top w:val="none" w:sz="0" w:space="0" w:color="auto"/>
        <w:left w:val="none" w:sz="0" w:space="0" w:color="auto"/>
        <w:bottom w:val="none" w:sz="0" w:space="0" w:color="auto"/>
        <w:right w:val="none" w:sz="0" w:space="0" w:color="auto"/>
      </w:divBdr>
    </w:div>
    <w:div w:id="71856962">
      <w:bodyDiv w:val="1"/>
      <w:marLeft w:val="0"/>
      <w:marRight w:val="0"/>
      <w:marTop w:val="0"/>
      <w:marBottom w:val="0"/>
      <w:divBdr>
        <w:top w:val="none" w:sz="0" w:space="0" w:color="auto"/>
        <w:left w:val="none" w:sz="0" w:space="0" w:color="auto"/>
        <w:bottom w:val="none" w:sz="0" w:space="0" w:color="auto"/>
        <w:right w:val="none" w:sz="0" w:space="0" w:color="auto"/>
      </w:divBdr>
    </w:div>
    <w:div w:id="281886495">
      <w:bodyDiv w:val="1"/>
      <w:marLeft w:val="0"/>
      <w:marRight w:val="0"/>
      <w:marTop w:val="0"/>
      <w:marBottom w:val="0"/>
      <w:divBdr>
        <w:top w:val="none" w:sz="0" w:space="0" w:color="auto"/>
        <w:left w:val="none" w:sz="0" w:space="0" w:color="auto"/>
        <w:bottom w:val="none" w:sz="0" w:space="0" w:color="auto"/>
        <w:right w:val="none" w:sz="0" w:space="0" w:color="auto"/>
      </w:divBdr>
    </w:div>
    <w:div w:id="328798712">
      <w:bodyDiv w:val="1"/>
      <w:marLeft w:val="0"/>
      <w:marRight w:val="0"/>
      <w:marTop w:val="0"/>
      <w:marBottom w:val="0"/>
      <w:divBdr>
        <w:top w:val="none" w:sz="0" w:space="0" w:color="auto"/>
        <w:left w:val="none" w:sz="0" w:space="0" w:color="auto"/>
        <w:bottom w:val="none" w:sz="0" w:space="0" w:color="auto"/>
        <w:right w:val="none" w:sz="0" w:space="0" w:color="auto"/>
      </w:divBdr>
    </w:div>
    <w:div w:id="365567043">
      <w:bodyDiv w:val="1"/>
      <w:marLeft w:val="0"/>
      <w:marRight w:val="0"/>
      <w:marTop w:val="0"/>
      <w:marBottom w:val="0"/>
      <w:divBdr>
        <w:top w:val="none" w:sz="0" w:space="0" w:color="auto"/>
        <w:left w:val="none" w:sz="0" w:space="0" w:color="auto"/>
        <w:bottom w:val="none" w:sz="0" w:space="0" w:color="auto"/>
        <w:right w:val="none" w:sz="0" w:space="0" w:color="auto"/>
      </w:divBdr>
    </w:div>
    <w:div w:id="546842408">
      <w:bodyDiv w:val="1"/>
      <w:marLeft w:val="0"/>
      <w:marRight w:val="0"/>
      <w:marTop w:val="0"/>
      <w:marBottom w:val="0"/>
      <w:divBdr>
        <w:top w:val="none" w:sz="0" w:space="0" w:color="auto"/>
        <w:left w:val="none" w:sz="0" w:space="0" w:color="auto"/>
        <w:bottom w:val="none" w:sz="0" w:space="0" w:color="auto"/>
        <w:right w:val="none" w:sz="0" w:space="0" w:color="auto"/>
      </w:divBdr>
    </w:div>
    <w:div w:id="685442379">
      <w:bodyDiv w:val="1"/>
      <w:marLeft w:val="0"/>
      <w:marRight w:val="0"/>
      <w:marTop w:val="0"/>
      <w:marBottom w:val="0"/>
      <w:divBdr>
        <w:top w:val="none" w:sz="0" w:space="0" w:color="auto"/>
        <w:left w:val="none" w:sz="0" w:space="0" w:color="auto"/>
        <w:bottom w:val="none" w:sz="0" w:space="0" w:color="auto"/>
        <w:right w:val="none" w:sz="0" w:space="0" w:color="auto"/>
      </w:divBdr>
    </w:div>
    <w:div w:id="737216452">
      <w:bodyDiv w:val="1"/>
      <w:marLeft w:val="0"/>
      <w:marRight w:val="0"/>
      <w:marTop w:val="0"/>
      <w:marBottom w:val="0"/>
      <w:divBdr>
        <w:top w:val="none" w:sz="0" w:space="0" w:color="auto"/>
        <w:left w:val="none" w:sz="0" w:space="0" w:color="auto"/>
        <w:bottom w:val="none" w:sz="0" w:space="0" w:color="auto"/>
        <w:right w:val="none" w:sz="0" w:space="0" w:color="auto"/>
      </w:divBdr>
    </w:div>
    <w:div w:id="824400842">
      <w:bodyDiv w:val="1"/>
      <w:marLeft w:val="0"/>
      <w:marRight w:val="0"/>
      <w:marTop w:val="0"/>
      <w:marBottom w:val="0"/>
      <w:divBdr>
        <w:top w:val="none" w:sz="0" w:space="0" w:color="auto"/>
        <w:left w:val="none" w:sz="0" w:space="0" w:color="auto"/>
        <w:bottom w:val="none" w:sz="0" w:space="0" w:color="auto"/>
        <w:right w:val="none" w:sz="0" w:space="0" w:color="auto"/>
      </w:divBdr>
    </w:div>
    <w:div w:id="1665625745">
      <w:bodyDiv w:val="1"/>
      <w:marLeft w:val="0"/>
      <w:marRight w:val="0"/>
      <w:marTop w:val="0"/>
      <w:marBottom w:val="0"/>
      <w:divBdr>
        <w:top w:val="none" w:sz="0" w:space="0" w:color="auto"/>
        <w:left w:val="none" w:sz="0" w:space="0" w:color="auto"/>
        <w:bottom w:val="none" w:sz="0" w:space="0" w:color="auto"/>
        <w:right w:val="none" w:sz="0" w:space="0" w:color="auto"/>
      </w:divBdr>
    </w:div>
    <w:div w:id="1666469830">
      <w:bodyDiv w:val="1"/>
      <w:marLeft w:val="0"/>
      <w:marRight w:val="0"/>
      <w:marTop w:val="0"/>
      <w:marBottom w:val="0"/>
      <w:divBdr>
        <w:top w:val="none" w:sz="0" w:space="0" w:color="auto"/>
        <w:left w:val="none" w:sz="0" w:space="0" w:color="auto"/>
        <w:bottom w:val="none" w:sz="0" w:space="0" w:color="auto"/>
        <w:right w:val="none" w:sz="0" w:space="0" w:color="auto"/>
      </w:divBdr>
    </w:div>
    <w:div w:id="1875651960">
      <w:bodyDiv w:val="1"/>
      <w:marLeft w:val="0"/>
      <w:marRight w:val="0"/>
      <w:marTop w:val="0"/>
      <w:marBottom w:val="0"/>
      <w:divBdr>
        <w:top w:val="none" w:sz="0" w:space="0" w:color="auto"/>
        <w:left w:val="none" w:sz="0" w:space="0" w:color="auto"/>
        <w:bottom w:val="none" w:sz="0" w:space="0" w:color="auto"/>
        <w:right w:val="none" w:sz="0" w:space="0" w:color="auto"/>
      </w:divBdr>
    </w:div>
    <w:div w:id="1933933341">
      <w:bodyDiv w:val="1"/>
      <w:marLeft w:val="0"/>
      <w:marRight w:val="0"/>
      <w:marTop w:val="0"/>
      <w:marBottom w:val="0"/>
      <w:divBdr>
        <w:top w:val="none" w:sz="0" w:space="0" w:color="auto"/>
        <w:left w:val="none" w:sz="0" w:space="0" w:color="auto"/>
        <w:bottom w:val="none" w:sz="0" w:space="0" w:color="auto"/>
        <w:right w:val="none" w:sz="0" w:space="0" w:color="auto"/>
      </w:divBdr>
    </w:div>
    <w:div w:id="2016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AppData\Local\Temp\Temp1_DOC_1280876%20(3).zip\Insor\EstandaresMinimos_Res0312_2019_Insor.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cat>
            <c:strRef>
              <c:f>[EstandaresMinimos_Res0312_2019_Insor.xlsm]Info1!$B$5:$B$11</c:f>
              <c:strCache>
                <c:ptCount val="7"/>
                <c:pt idx="0">
                  <c:v>P - Recursos</c:v>
                </c:pt>
                <c:pt idx="1">
                  <c:v>P - Gestión Integral del SG SST</c:v>
                </c:pt>
                <c:pt idx="2">
                  <c:v>H - Gestión de la Salud</c:v>
                </c:pt>
                <c:pt idx="3">
                  <c:v>H - Gestión de Peligros y Riesgos</c:v>
                </c:pt>
                <c:pt idx="4">
                  <c:v>H - Gestión de Amenazas</c:v>
                </c:pt>
                <c:pt idx="5">
                  <c:v>V - Verificación del SG SST</c:v>
                </c:pt>
                <c:pt idx="6">
                  <c:v>A - Mejoramiento</c:v>
                </c:pt>
              </c:strCache>
            </c:strRef>
          </c:cat>
          <c:val>
            <c:numRef>
              <c:f>[EstandaresMinimos_Res0312_2019_Insor.xlsm]Info1!$E$5:$E$11</c:f>
              <c:numCache>
                <c:formatCode>0%</c:formatCode>
                <c:ptCount val="7"/>
                <c:pt idx="0">
                  <c:v>0.95454545454545459</c:v>
                </c:pt>
                <c:pt idx="1">
                  <c:v>0.8571428571428571</c:v>
                </c:pt>
                <c:pt idx="2">
                  <c:v>1</c:v>
                </c:pt>
                <c:pt idx="3">
                  <c:v>1</c:v>
                </c:pt>
                <c:pt idx="4">
                  <c:v>1</c:v>
                </c:pt>
                <c:pt idx="5">
                  <c:v>1</c:v>
                </c:pt>
                <c:pt idx="6">
                  <c:v>1</c:v>
                </c:pt>
              </c:numCache>
            </c:numRef>
          </c:val>
          <c:extLst>
            <c:ext xmlns:c16="http://schemas.microsoft.com/office/drawing/2014/chart" uri="{C3380CC4-5D6E-409C-BE32-E72D297353CC}">
              <c16:uniqueId val="{00000000-8E72-4A40-936F-ACAFD49D068F}"/>
            </c:ext>
          </c:extLst>
        </c:ser>
        <c:dLbls>
          <c:showLegendKey val="0"/>
          <c:showVal val="0"/>
          <c:showCatName val="0"/>
          <c:showSerName val="0"/>
          <c:showPercent val="0"/>
          <c:showBubbleSize val="0"/>
        </c:dLbls>
        <c:axId val="204226944"/>
        <c:axId val="204228480"/>
      </c:radarChart>
      <c:catAx>
        <c:axId val="204226944"/>
        <c:scaling>
          <c:orientation val="minMax"/>
        </c:scaling>
        <c:delete val="0"/>
        <c:axPos val="b"/>
        <c:majorGridlines/>
        <c:numFmt formatCode="General" sourceLinked="0"/>
        <c:majorTickMark val="out"/>
        <c:minorTickMark val="none"/>
        <c:tickLblPos val="nextTo"/>
        <c:crossAx val="204228480"/>
        <c:crosses val="autoZero"/>
        <c:auto val="1"/>
        <c:lblAlgn val="ctr"/>
        <c:lblOffset val="100"/>
        <c:noMultiLvlLbl val="0"/>
      </c:catAx>
      <c:valAx>
        <c:axId val="204228480"/>
        <c:scaling>
          <c:orientation val="minMax"/>
        </c:scaling>
        <c:delete val="0"/>
        <c:axPos val="l"/>
        <c:majorGridlines/>
        <c:numFmt formatCode="0%" sourceLinked="1"/>
        <c:majorTickMark val="cross"/>
        <c:minorTickMark val="none"/>
        <c:tickLblPos val="nextTo"/>
        <c:crossAx val="204226944"/>
        <c:crosses val="autoZero"/>
        <c:crossBetween val="between"/>
        <c:majorUnit val="0.2"/>
        <c:minorUnit val="5.000000000000001E-2"/>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3F2C-4DA1-405C-B40A-D8A09EAF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Alexandra Muñoz Barrera</dc:creator>
  <cp:keywords/>
  <dc:description/>
  <cp:lastModifiedBy>Johana Marcela Camargo Fandiño</cp:lastModifiedBy>
  <cp:revision>2</cp:revision>
  <dcterms:created xsi:type="dcterms:W3CDTF">2021-12-01T02:15:00Z</dcterms:created>
  <dcterms:modified xsi:type="dcterms:W3CDTF">2021-12-01T02:15:00Z</dcterms:modified>
</cp:coreProperties>
</file>