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D1" w:rsidRPr="006B61EC" w:rsidRDefault="00AC2CEE">
      <w:pPr>
        <w:tabs>
          <w:tab w:val="left" w:pos="3109"/>
        </w:tabs>
        <w:rPr>
          <w:rFonts w:ascii="Verdana" w:eastAsia="Verdana" w:hAnsi="Verdana" w:cs="Verdana"/>
        </w:rPr>
      </w:pPr>
      <w:r w:rsidRPr="006B61EC">
        <w:rPr>
          <w:rFonts w:ascii="Verdana" w:eastAsia="Verdana" w:hAnsi="Verdana" w:cs="Verdana"/>
        </w:rPr>
        <w:t xml:space="preserve"> </w:t>
      </w:r>
    </w:p>
    <w:p w:rsidR="006B61EC" w:rsidRPr="006B61EC" w:rsidRDefault="006B61EC" w:rsidP="006B61EC">
      <w:pPr>
        <w:rPr>
          <w:rFonts w:ascii="Verdana" w:hAnsi="Verdana"/>
        </w:rPr>
      </w:pPr>
    </w:p>
    <w:p w:rsidR="006B61EC" w:rsidRPr="006B61EC" w:rsidRDefault="006B61EC" w:rsidP="006B61EC">
      <w:pPr>
        <w:rPr>
          <w:rFonts w:ascii="Verdana" w:hAnsi="Verdana"/>
          <w:sz w:val="82"/>
          <w:szCs w:val="82"/>
        </w:rPr>
      </w:pPr>
    </w:p>
    <w:p w:rsidR="006B61EC" w:rsidRPr="006B61EC" w:rsidRDefault="006B61EC" w:rsidP="006B61EC">
      <w:pPr>
        <w:rPr>
          <w:rFonts w:ascii="Verdana" w:hAnsi="Verdana"/>
          <w:sz w:val="82"/>
          <w:szCs w:val="82"/>
        </w:rPr>
      </w:pPr>
    </w:p>
    <w:p w:rsidR="006B61EC" w:rsidRPr="006B61EC" w:rsidRDefault="006B61EC" w:rsidP="006B61EC">
      <w:pPr>
        <w:rPr>
          <w:rFonts w:ascii="Verdana" w:hAnsi="Verdana"/>
          <w:sz w:val="82"/>
          <w:szCs w:val="82"/>
        </w:rPr>
      </w:pPr>
    </w:p>
    <w:p w:rsidR="006B61EC" w:rsidRPr="006B61EC" w:rsidRDefault="006B61EC" w:rsidP="006B61EC">
      <w:pPr>
        <w:tabs>
          <w:tab w:val="left" w:pos="7716"/>
        </w:tabs>
        <w:rPr>
          <w:rFonts w:ascii="Verdana" w:hAnsi="Verdana"/>
          <w:sz w:val="96"/>
          <w:szCs w:val="96"/>
        </w:rPr>
      </w:pPr>
      <w:r w:rsidRPr="006B61EC">
        <w:rPr>
          <w:rFonts w:ascii="Verdana" w:hAnsi="Verdana"/>
          <w:sz w:val="82"/>
          <w:szCs w:val="82"/>
        </w:rPr>
        <w:t>PLAN DE FORMACIÓN Y CAPACITACION 2023</w:t>
      </w:r>
    </w:p>
    <w:p w:rsidR="006B61EC" w:rsidRPr="006B61EC" w:rsidRDefault="006B61EC" w:rsidP="006B61EC">
      <w:pPr>
        <w:tabs>
          <w:tab w:val="left" w:pos="2834"/>
        </w:tabs>
        <w:rPr>
          <w:rFonts w:ascii="Verdana" w:hAnsi="Verdana"/>
          <w:sz w:val="96"/>
          <w:szCs w:val="96"/>
        </w:rPr>
      </w:pPr>
      <w:r w:rsidRPr="006B61EC">
        <w:rPr>
          <w:rFonts w:ascii="Verdana" w:hAnsi="Verdana"/>
          <w:noProof/>
          <w:sz w:val="82"/>
          <w:szCs w:val="8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00D60A" wp14:editId="7C20112D">
                <wp:simplePos x="0" y="0"/>
                <wp:positionH relativeFrom="column">
                  <wp:posOffset>-1066800</wp:posOffset>
                </wp:positionH>
                <wp:positionV relativeFrom="paragraph">
                  <wp:posOffset>683895</wp:posOffset>
                </wp:positionV>
                <wp:extent cx="6172200" cy="3429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2364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1EC" w:rsidRPr="001E4E30" w:rsidRDefault="006B61EC" w:rsidP="006B61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0D60A" id="Rectángulo 6" o:spid="_x0000_s1026" style="position:absolute;margin-left:-84pt;margin-top:53.85pt;width:486pt;height:2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" fillcolor="#23649e" stroked="f" strokeweight="1pt">
                <v:textbox>
                  <w:txbxContent>
                    <w:p w:rsidR="006B61EC" w:rsidRPr="001E4E30" w:rsidRDefault="006B61EC" w:rsidP="006B61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B61EC">
        <w:rPr>
          <w:rFonts w:ascii="Verdana" w:hAnsi="Verdana"/>
          <w:sz w:val="96"/>
          <w:szCs w:val="96"/>
        </w:rPr>
        <w:tab/>
      </w:r>
    </w:p>
    <w:p w:rsidR="006B61EC" w:rsidRPr="006B61EC" w:rsidRDefault="006B61EC" w:rsidP="006B61EC">
      <w:pPr>
        <w:tabs>
          <w:tab w:val="left" w:pos="2834"/>
        </w:tabs>
        <w:rPr>
          <w:rFonts w:ascii="Verdana" w:hAnsi="Verdana"/>
          <w:sz w:val="96"/>
          <w:szCs w:val="96"/>
        </w:rPr>
      </w:pPr>
    </w:p>
    <w:p w:rsidR="006B61EC" w:rsidRPr="006B61EC" w:rsidRDefault="006B61EC" w:rsidP="006B61EC">
      <w:pPr>
        <w:tabs>
          <w:tab w:val="left" w:pos="2834"/>
        </w:tabs>
        <w:rPr>
          <w:rFonts w:ascii="Verdana" w:hAnsi="Verdana"/>
          <w:sz w:val="96"/>
          <w:szCs w:val="96"/>
        </w:rPr>
      </w:pPr>
    </w:p>
    <w:p w:rsidR="006261D1" w:rsidRPr="006B61EC" w:rsidRDefault="006261D1">
      <w:pPr>
        <w:rPr>
          <w:rFonts w:ascii="Verdana" w:eastAsia="Verdana" w:hAnsi="Verdana" w:cs="Verdana"/>
        </w:rPr>
      </w:pPr>
    </w:p>
    <w:p w:rsidR="006261D1" w:rsidRPr="006B61EC" w:rsidRDefault="006261D1">
      <w:pPr>
        <w:rPr>
          <w:rFonts w:ascii="Verdana" w:eastAsia="Verdana" w:hAnsi="Verdana" w:cs="Verdana"/>
        </w:rPr>
      </w:pPr>
    </w:p>
    <w:p w:rsidR="006261D1" w:rsidRPr="006B61EC" w:rsidRDefault="006261D1">
      <w:pPr>
        <w:rPr>
          <w:rFonts w:ascii="Verdana" w:eastAsia="Verdana" w:hAnsi="Verdana" w:cs="Verdana"/>
        </w:rPr>
      </w:pPr>
    </w:p>
    <w:p w:rsidR="006261D1" w:rsidRPr="006B61EC" w:rsidRDefault="006261D1">
      <w:pPr>
        <w:rPr>
          <w:rFonts w:ascii="Verdana" w:eastAsia="Verdana" w:hAnsi="Verdana" w:cs="Verdana"/>
        </w:rPr>
      </w:pPr>
    </w:p>
    <w:p w:rsidR="006261D1" w:rsidRPr="006B61EC" w:rsidRDefault="006261D1">
      <w:pPr>
        <w:rPr>
          <w:rFonts w:ascii="Verdana" w:eastAsia="Verdana" w:hAnsi="Verdana" w:cs="Verdana"/>
        </w:rPr>
      </w:pPr>
    </w:p>
    <w:p w:rsidR="006261D1" w:rsidRPr="006B61EC" w:rsidRDefault="006261D1">
      <w:pPr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rPr>
          <w:rFonts w:ascii="Verdana" w:eastAsia="Verdana" w:hAnsi="Verdana" w:cs="Verdana"/>
          <w:color w:val="255579"/>
          <w:sz w:val="22"/>
          <w:szCs w:val="22"/>
        </w:rPr>
      </w:pPr>
    </w:p>
    <w:p w:rsidR="006261D1" w:rsidRPr="006B61EC" w:rsidRDefault="006261D1">
      <w:pPr>
        <w:rPr>
          <w:rFonts w:ascii="Verdana" w:eastAsia="Verdana" w:hAnsi="Verdana" w:cs="Verdana"/>
          <w:color w:val="255579"/>
          <w:sz w:val="22"/>
          <w:szCs w:val="22"/>
        </w:rPr>
      </w:pPr>
    </w:p>
    <w:p w:rsidR="006261D1" w:rsidRPr="006B61EC" w:rsidRDefault="006261D1">
      <w:pPr>
        <w:rPr>
          <w:rFonts w:ascii="Verdana" w:eastAsia="Verdana" w:hAnsi="Verdana" w:cs="Verdana"/>
          <w:color w:val="255579"/>
          <w:sz w:val="22"/>
          <w:szCs w:val="22"/>
        </w:rPr>
      </w:pPr>
    </w:p>
    <w:p w:rsidR="006261D1" w:rsidRPr="006B61EC" w:rsidRDefault="00AC2CEE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Verdana" w:eastAsia="Century Gothic" w:hAnsi="Verdana" w:cs="Century Gothic"/>
          <w:b/>
          <w:color w:val="2E75B5"/>
          <w:sz w:val="28"/>
          <w:szCs w:val="28"/>
        </w:rPr>
      </w:pPr>
      <w:bookmarkStart w:id="0" w:name="_heading=h.gjdgxs" w:colFirst="0" w:colLast="0"/>
      <w:bookmarkEnd w:id="0"/>
      <w:r w:rsidRPr="006B61EC">
        <w:rPr>
          <w:rFonts w:ascii="Verdana" w:eastAsia="Century Gothic" w:hAnsi="Verdana" w:cs="Century Gothic"/>
          <w:b/>
          <w:color w:val="2E75B5"/>
          <w:sz w:val="28"/>
          <w:szCs w:val="28"/>
        </w:rPr>
        <w:lastRenderedPageBreak/>
        <w:t>Contenido</w:t>
      </w:r>
    </w:p>
    <w:sdt>
      <w:sdtPr>
        <w:rPr>
          <w:rFonts w:ascii="Verdana" w:hAnsi="Verdana"/>
        </w:rPr>
        <w:id w:val="-1571963144"/>
        <w:docPartObj>
          <w:docPartGallery w:val="Table of Contents"/>
          <w:docPartUnique/>
        </w:docPartObj>
      </w:sdtPr>
      <w:sdtEndPr/>
      <w:sdtContent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TOC \h \u \z </w:instrText>
          </w:r>
          <w:r w:rsidRPr="006B61EC">
            <w:rPr>
              <w:rFonts w:ascii="Verdana" w:hAnsi="Verdana"/>
            </w:rPr>
            <w:fldChar w:fldCharType="separate"/>
          </w:r>
          <w:hyperlink w:anchor="_heading=h.30j0zll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INTRODUCCIÓN</w:t>
            </w:r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3</w:t>
            </w:r>
          </w:hyperlink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1fob9te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</w:t>
            </w:r>
          </w:hyperlink>
          <w:hyperlink w:anchor="_heading=h.1fob9te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_heading=h.1fob9te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MARCO NORMATIVO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4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3znysh7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</w:t>
            </w:r>
          </w:hyperlink>
          <w:hyperlink w:anchor="_heading=h.3znysh7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_heading=h.3znysh7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OBJETIVO GENERAL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5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2et92p0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</w:t>
            </w:r>
          </w:hyperlink>
          <w:hyperlink w:anchor="_heading=h.2et92p0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</w:instrText>
          </w:r>
          <w:r w:rsidRPr="006B61EC">
            <w:rPr>
              <w:rFonts w:ascii="Verdana" w:hAnsi="Verdana"/>
            </w:rPr>
            <w:instrText xml:space="preserve">ing=h.2et92p0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Objetivos Específicos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5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tyjcwt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</w:t>
            </w:r>
          </w:hyperlink>
          <w:hyperlink w:anchor="_heading=h.tyjcwt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_heading=h.tyjcwt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EJES TEMÁTICOS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5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3dy6vkm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</w:t>
            </w:r>
          </w:hyperlink>
          <w:hyperlink w:anchor="_heading=h.3dy6vkm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_heading=h.3dy6vkm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Eje 1. Gestión del conocimiento y la innovación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6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1t3h5sf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3.2</w:t>
            </w:r>
          </w:hyperlink>
          <w:hyperlink w:anchor="_heading=h.1t3h5sf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_heading=h.1t3h5sf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Eje 2. Creación de valor público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8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4d34og8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</w:t>
            </w:r>
          </w:hyperlink>
          <w:hyperlink w:anchor="_heading=h.4d34og8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_heading=h.4d34og8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Eje 3. Transformación digital.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9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17dp8vu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3.4</w:t>
            </w:r>
          </w:hyperlink>
          <w:hyperlink w:anchor="_heading=h.17dp8vu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_heading=h.17dp8vu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Eje 4. Probidad y ética de lo público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10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3rdcrjn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</w:t>
            </w:r>
          </w:hyperlink>
          <w:hyperlink w:anchor="_heading=h.3rdcrjn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_heading=h.3rdcrjn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sz w:val="20"/>
              <w:szCs w:val="20"/>
            </w:rPr>
            <w:t>DIAGNÓSTICO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 DE NECESIDADES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10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26in1rg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</w:t>
            </w:r>
          </w:hyperlink>
          <w:hyperlink w:anchor="_heading=h.26in1rg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_heading=h.26in1rg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ACTIVIDADES DEL PLAN DE CAPACITACIÓN – PIC 2023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10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lnxbz9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5.1</w:t>
            </w:r>
          </w:hyperlink>
          <w:hyperlink w:anchor="_heading=h.lnxbz9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_heading=h.lnxbz9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Inducción y reinducción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10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1ksv4uv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5.2</w:t>
            </w:r>
          </w:hyperlink>
          <w:hyperlink w:anchor="_heading=h.1ksv4uv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_heading=h.1ksv4uv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Evaluación de desempeño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10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44sinio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.3</w:t>
            </w:r>
          </w:hyperlink>
          <w:hyperlink w:anchor="_heading=h.44sinio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_heading=h.44sinio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Otras Capacitaciones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10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2jxsxqh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</w:t>
            </w:r>
          </w:hyperlink>
          <w:hyperlink w:anchor="_heading=h.2jxsxqh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_heading=h.2jxsxqh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RED INSTITUCIONAL DE CAPACITACIÓN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11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z337ya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7.</w:t>
            </w:r>
          </w:hyperlink>
          <w:hyperlink w:anchor="_heading=h.z337ya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_heading=h.z337ya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I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NDICADORES QUE </w:t>
          </w:r>
          <w:r w:rsidRPr="006B61EC">
            <w:rPr>
              <w:rFonts w:ascii="Verdana" w:eastAsia="Verdana" w:hAnsi="Verdana" w:cs="Verdana"/>
              <w:sz w:val="20"/>
              <w:szCs w:val="20"/>
            </w:rPr>
            <w:t>PERMITIRÁN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 MEDIR EL PLAN DE CAPACITACIÓN 2023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11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3j2qqm3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7.1</w:t>
            </w:r>
          </w:hyperlink>
          <w:hyperlink w:anchor="_heading=h.3j2qqm3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_heading=h.3j2qqm3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Nivel De Cumplimiento Pic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11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1y810tw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7.2</w:t>
            </w:r>
          </w:hyperlink>
          <w:hyperlink w:anchor="_heading=h.1y810tw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_heading=h.1y810tw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Nivel de cobertura Pic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11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4i7ojhp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7.3</w:t>
            </w:r>
          </w:hyperlink>
          <w:hyperlink w:anchor="_heading=h.4i7ojhp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_heading=h.4i7ojhp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Grado de satisfacción del Pic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11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2xcytpi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8.</w:t>
            </w:r>
          </w:hyperlink>
          <w:hyperlink w:anchor="_heading=h.2xcytpi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_heading=h.2xcytpi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CRONOGRAMA DE CAPACITACIONES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12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3whwml4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9.</w:t>
            </w:r>
          </w:hyperlink>
          <w:hyperlink w:anchor="_heading=h.3whwml4">
            <w:r w:rsidRPr="006B61EC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ab/>
            </w:r>
          </w:hyperlink>
          <w:r w:rsidRPr="006B61EC">
            <w:rPr>
              <w:rFonts w:ascii="Verdana" w:hAnsi="Verdana"/>
            </w:rPr>
            <w:fldChar w:fldCharType="begin"/>
          </w:r>
          <w:r w:rsidRPr="006B61EC">
            <w:rPr>
              <w:rFonts w:ascii="Verdana" w:hAnsi="Verdana"/>
            </w:rPr>
            <w:instrText xml:space="preserve"> PAGEREF _heading=h.3whwml4 \h </w:instrText>
          </w:r>
          <w:r w:rsidRPr="006B61EC">
            <w:rPr>
              <w:rFonts w:ascii="Verdana" w:hAnsi="Verdana"/>
            </w:rPr>
          </w:r>
          <w:r w:rsidRPr="006B61EC">
            <w:rPr>
              <w:rFonts w:ascii="Verdana" w:hAnsi="Verdana"/>
            </w:rPr>
            <w:fldChar w:fldCharType="separate"/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>GLOSARIO</w:t>
          </w:r>
          <w:r w:rsidRPr="006B61E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  <w:t>14</w:t>
          </w:r>
          <w:r w:rsidRPr="006B61EC">
            <w:rPr>
              <w:rFonts w:ascii="Verdana" w:hAnsi="Verdana"/>
            </w:rPr>
            <w:fldChar w:fldCharType="end"/>
          </w:r>
        </w:p>
        <w:p w:rsidR="006261D1" w:rsidRPr="006B61EC" w:rsidRDefault="00AC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before="240" w:after="120"/>
            <w:rPr>
              <w:rFonts w:ascii="Verdana" w:eastAsia="Calibri" w:hAnsi="Verdana" w:cs="Calibri"/>
              <w:color w:val="000000"/>
              <w:sz w:val="22"/>
              <w:szCs w:val="22"/>
            </w:rPr>
          </w:pPr>
          <w:hyperlink w:anchor="_heading=h.2bn6wsx">
            <w:r w:rsidRPr="006B61EC">
              <w:rPr>
                <w:rFonts w:ascii="Verdana" w:eastAsia="Verdana" w:hAnsi="Verdana" w:cs="Verdana"/>
                <w:sz w:val="20"/>
                <w:szCs w:val="20"/>
              </w:rPr>
              <w:t>BIBLIOGRAFÍA</w:t>
            </w:r>
          </w:hyperlink>
          <w:hyperlink w:anchor="_heading=h.2bn6wsx"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17</w:t>
            </w:r>
          </w:hyperlink>
        </w:p>
        <w:p w:rsidR="006261D1" w:rsidRPr="006B61EC" w:rsidRDefault="00AC2CEE">
          <w:pPr>
            <w:rPr>
              <w:rFonts w:ascii="Verdana" w:hAnsi="Verdana"/>
            </w:rPr>
          </w:pPr>
          <w:r w:rsidRPr="006B61EC">
            <w:rPr>
              <w:rFonts w:ascii="Verdana" w:hAnsi="Verdana"/>
            </w:rPr>
            <w:fldChar w:fldCharType="end"/>
          </w:r>
        </w:p>
      </w:sdtContent>
    </w:sdt>
    <w:p w:rsidR="006261D1" w:rsidRPr="006B61EC" w:rsidRDefault="00AC2CEE">
      <w:pPr>
        <w:pStyle w:val="Ttulo1"/>
        <w:jc w:val="center"/>
        <w:rPr>
          <w:rFonts w:ascii="Verdana" w:eastAsia="Verdana" w:hAnsi="Verdana" w:cs="Verdana"/>
          <w:sz w:val="22"/>
          <w:szCs w:val="22"/>
        </w:rPr>
      </w:pPr>
      <w:bookmarkStart w:id="1" w:name="_heading=h.30j0zll" w:colFirst="0" w:colLast="0"/>
      <w:bookmarkEnd w:id="1"/>
      <w:r w:rsidRPr="006B61EC">
        <w:rPr>
          <w:rFonts w:ascii="Verdana" w:eastAsia="Verdana" w:hAnsi="Verdana" w:cs="Verdana"/>
          <w:sz w:val="22"/>
          <w:szCs w:val="22"/>
        </w:rPr>
        <w:lastRenderedPageBreak/>
        <w:t>INTRODUCCIÓN</w:t>
      </w:r>
    </w:p>
    <w:p w:rsidR="006261D1" w:rsidRPr="006B61EC" w:rsidRDefault="006261D1">
      <w:pPr>
        <w:rPr>
          <w:rFonts w:ascii="Verdana" w:hAnsi="Verdana"/>
        </w:rPr>
      </w:pPr>
    </w:p>
    <w:p w:rsidR="006261D1" w:rsidRPr="006B61EC" w:rsidRDefault="006261D1">
      <w:pPr>
        <w:rPr>
          <w:rFonts w:ascii="Verdana" w:eastAsia="Verdana" w:hAnsi="Verdana" w:cs="Verdana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El Plan Nacional de Formación y Capacitación 2023 garantiza el desarrollo de capacidades en los servidores públicos para la prestación de bienes y servicios públicos, así como el diseño, implementación y evaluación de todas las políticas públicas.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Para la</w:t>
      </w:r>
      <w:r w:rsidRPr="006B61EC">
        <w:rPr>
          <w:rFonts w:ascii="Verdana" w:eastAsia="Verdana" w:hAnsi="Verdana" w:cs="Verdana"/>
          <w:sz w:val="22"/>
          <w:szCs w:val="22"/>
        </w:rPr>
        <w:t xml:space="preserve"> elaboración de presente plan, el Instituto Nacional para Sordos – INSOR,  tomó como fuente los lineamientos establecidos en el </w:t>
      </w:r>
      <w:hyperlink r:id="rId8">
        <w:r w:rsidRPr="006B61EC">
          <w:rPr>
            <w:rFonts w:ascii="Verdana" w:eastAsia="Verdana" w:hAnsi="Verdana" w:cs="Verdana"/>
            <w:sz w:val="22"/>
            <w:szCs w:val="22"/>
          </w:rPr>
          <w:t> Plan Nacional de Formación y Capacitación 2020-2030</w:t>
        </w:r>
      </w:hyperlink>
      <w:r w:rsidRPr="006B61EC">
        <w:rPr>
          <w:rFonts w:ascii="Verdana" w:eastAsia="Verdana" w:hAnsi="Verdana" w:cs="Verdana"/>
          <w:sz w:val="22"/>
          <w:szCs w:val="22"/>
        </w:rPr>
        <w:t>, documento desarrollado por el Departamento Administrativo de la Función Pública, sin dejar de lado las necesidades propias de cada dependencia las cuales apuntan al fortalecimiento de los saberes, ac</w:t>
      </w:r>
      <w:r w:rsidRPr="006B61EC">
        <w:rPr>
          <w:rFonts w:ascii="Verdana" w:eastAsia="Verdana" w:hAnsi="Verdana" w:cs="Verdana"/>
          <w:sz w:val="22"/>
          <w:szCs w:val="22"/>
        </w:rPr>
        <w:t>titudes, habilidades, destrezas y conocimientos de los servidores públicos de la entidad.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 xml:space="preserve">Finalmente, para la ejecución del plan en mención se tendrán en cuenta los objetivos y fines del Estado, las políticas en materia de Talento Humano y los parámetros </w:t>
      </w:r>
      <w:r w:rsidRPr="006B61EC">
        <w:rPr>
          <w:rFonts w:ascii="Verdana" w:eastAsia="Verdana" w:hAnsi="Verdana" w:cs="Verdana"/>
          <w:sz w:val="22"/>
          <w:szCs w:val="22"/>
        </w:rPr>
        <w:t xml:space="preserve">éticos que deben regir el ejercicio de la función pública en Colombia y los consagrados en la Política de Integridad del Instituto Nacional para Sordos – INSOR, en particular. Cabe aclarar, que este plan está sujeto a modificaciones asociadas al efecto de </w:t>
      </w:r>
      <w:r w:rsidRPr="006B61EC">
        <w:rPr>
          <w:rFonts w:ascii="Verdana" w:eastAsia="Verdana" w:hAnsi="Verdana" w:cs="Verdana"/>
          <w:sz w:val="22"/>
          <w:szCs w:val="22"/>
        </w:rPr>
        <w:t>las actividades en la población, satisfacción, asistencia, cobertura, presupuesto y prioridades institucionales, o situaciones administrativas que se presenten durante su implementación.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</w:rPr>
        <w:t xml:space="preserve"> </w:t>
      </w:r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pStyle w:val="Ttulo1"/>
        <w:numPr>
          <w:ilvl w:val="0"/>
          <w:numId w:val="1"/>
        </w:numPr>
        <w:spacing w:before="360" w:line="240" w:lineRule="auto"/>
        <w:jc w:val="both"/>
        <w:rPr>
          <w:rFonts w:ascii="Verdana" w:eastAsia="Verdana" w:hAnsi="Verdana" w:cs="Verdana"/>
          <w:b w:val="0"/>
          <w:color w:val="1F4E79"/>
          <w:sz w:val="22"/>
          <w:szCs w:val="22"/>
        </w:rPr>
      </w:pPr>
      <w:bookmarkStart w:id="2" w:name="_heading=h.1fob9te" w:colFirst="0" w:colLast="0"/>
      <w:bookmarkEnd w:id="2"/>
      <w:r w:rsidRPr="006B61EC">
        <w:rPr>
          <w:rFonts w:ascii="Verdana" w:eastAsia="Verdana" w:hAnsi="Verdana" w:cs="Verdana"/>
          <w:color w:val="1F4E79"/>
          <w:sz w:val="22"/>
          <w:szCs w:val="22"/>
        </w:rPr>
        <w:lastRenderedPageBreak/>
        <w:t>MARCO NORMATIVO</w:t>
      </w:r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890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5946"/>
      </w:tblGrid>
      <w:tr w:rsidR="006261D1" w:rsidRPr="006B61EC" w:rsidTr="006B61EC">
        <w:trPr>
          <w:trHeight w:val="353"/>
        </w:trPr>
        <w:tc>
          <w:tcPr>
            <w:tcW w:w="2961" w:type="dxa"/>
            <w:shd w:val="clear" w:color="auto" w:fill="9CC3E5"/>
          </w:tcPr>
          <w:p w:rsidR="006261D1" w:rsidRPr="006B61EC" w:rsidRDefault="00AC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NORMATIVIDAD</w:t>
            </w:r>
          </w:p>
        </w:tc>
        <w:tc>
          <w:tcPr>
            <w:tcW w:w="5946" w:type="dxa"/>
            <w:shd w:val="clear" w:color="auto" w:fill="9CC3E5"/>
          </w:tcPr>
          <w:p w:rsidR="006261D1" w:rsidRPr="006B61EC" w:rsidRDefault="00AC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</w:t>
            </w:r>
          </w:p>
        </w:tc>
      </w:tr>
      <w:tr w:rsidR="006261D1" w:rsidRPr="006B61EC" w:rsidTr="006B61EC">
        <w:tc>
          <w:tcPr>
            <w:tcW w:w="2961" w:type="dxa"/>
            <w:vAlign w:val="center"/>
          </w:tcPr>
          <w:p w:rsidR="006261D1" w:rsidRPr="006B61EC" w:rsidRDefault="00AC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Decreto Ley 1567 de agosto 5/1998</w:t>
            </w:r>
          </w:p>
        </w:tc>
        <w:tc>
          <w:tcPr>
            <w:tcW w:w="5946" w:type="dxa"/>
          </w:tcPr>
          <w:p w:rsidR="006261D1" w:rsidRPr="006B61EC" w:rsidRDefault="00AC2CE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sz w:val="20"/>
                <w:szCs w:val="20"/>
              </w:rPr>
              <w:t>Por medio del cual se crea el sistema nacional de capacitación y el sistema de estímulos para los empleados del Estado.</w:t>
            </w:r>
          </w:p>
        </w:tc>
      </w:tr>
      <w:tr w:rsidR="006261D1" w:rsidRPr="006B61EC" w:rsidTr="006B61EC">
        <w:tc>
          <w:tcPr>
            <w:tcW w:w="2961" w:type="dxa"/>
            <w:vAlign w:val="center"/>
          </w:tcPr>
          <w:p w:rsidR="006261D1" w:rsidRPr="006B61EC" w:rsidRDefault="00AC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Ley 734 de 2002, Art. 33, numeral 3 y Art. 34, numeral 40</w:t>
            </w:r>
          </w:p>
        </w:tc>
        <w:tc>
          <w:tcPr>
            <w:tcW w:w="5946" w:type="dxa"/>
          </w:tcPr>
          <w:p w:rsidR="006261D1" w:rsidRPr="006B61EC" w:rsidRDefault="00AC2CE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sz w:val="20"/>
                <w:szCs w:val="20"/>
              </w:rPr>
              <w:t>Los cuales establecen como Derechos y Deberes de los servidores públicos, recibir capacitación para el mejor desempeño de sus funciones</w:t>
            </w:r>
          </w:p>
        </w:tc>
      </w:tr>
      <w:tr w:rsidR="006261D1" w:rsidRPr="006B61EC" w:rsidTr="006B61EC">
        <w:tc>
          <w:tcPr>
            <w:tcW w:w="2961" w:type="dxa"/>
            <w:vAlign w:val="center"/>
          </w:tcPr>
          <w:p w:rsidR="006261D1" w:rsidRPr="006B61EC" w:rsidRDefault="00AC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Ley 909 de septiembre 23/2004</w:t>
            </w:r>
          </w:p>
        </w:tc>
        <w:tc>
          <w:tcPr>
            <w:tcW w:w="5946" w:type="dxa"/>
          </w:tcPr>
          <w:p w:rsidR="006261D1" w:rsidRPr="006B61EC" w:rsidRDefault="00AC2CE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sz w:val="20"/>
                <w:szCs w:val="20"/>
              </w:rPr>
              <w:t>Por medio del cual se expiden normas</w:t>
            </w:r>
          </w:p>
          <w:p w:rsidR="006261D1" w:rsidRPr="006B61EC" w:rsidRDefault="00AC2CEE" w:rsidP="006B61E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 w:rsidRPr="006B61EC">
              <w:rPr>
                <w:rFonts w:ascii="Verdana" w:eastAsia="Verdana" w:hAnsi="Verdana" w:cs="Verdana"/>
                <w:sz w:val="20"/>
                <w:szCs w:val="20"/>
              </w:rPr>
              <w:t>que</w:t>
            </w:r>
            <w:proofErr w:type="gramEnd"/>
            <w:r w:rsidRPr="006B61EC">
              <w:rPr>
                <w:rFonts w:ascii="Verdana" w:eastAsia="Verdana" w:hAnsi="Verdana" w:cs="Verdana"/>
                <w:sz w:val="20"/>
                <w:szCs w:val="20"/>
              </w:rPr>
              <w:t xml:space="preserve"> regulan el empleo público, la carrera administra</w:t>
            </w:r>
            <w:r w:rsidRPr="006B61EC">
              <w:rPr>
                <w:rFonts w:ascii="Verdana" w:eastAsia="Verdana" w:hAnsi="Verdana" w:cs="Verdana"/>
                <w:sz w:val="20"/>
                <w:szCs w:val="20"/>
              </w:rPr>
              <w:t>tiva, gerencia pública</w:t>
            </w:r>
            <w:r w:rsidR="006B61E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 se dictan otras disposiciones.</w:t>
            </w:r>
          </w:p>
        </w:tc>
      </w:tr>
      <w:tr w:rsidR="006261D1" w:rsidRPr="006B61EC" w:rsidTr="006B61EC">
        <w:tc>
          <w:tcPr>
            <w:tcW w:w="2961" w:type="dxa"/>
            <w:vAlign w:val="center"/>
          </w:tcPr>
          <w:p w:rsidR="006261D1" w:rsidRPr="006B61EC" w:rsidRDefault="00AC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Ley 1064 de 2006</w:t>
            </w:r>
          </w:p>
        </w:tc>
        <w:tc>
          <w:tcPr>
            <w:tcW w:w="5946" w:type="dxa"/>
          </w:tcPr>
          <w:p w:rsidR="006261D1" w:rsidRPr="006B61EC" w:rsidRDefault="00AC2CEE" w:rsidP="006B61EC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sz w:val="20"/>
                <w:szCs w:val="20"/>
              </w:rPr>
              <w:t>Por la cual se dictan normas para el apoyo y fortalecimiento de la educación para el trabajo y el desarrollo humano</w:t>
            </w:r>
            <w:r w:rsidR="006B61E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establecida como educación no formal en la Ley General de Educación.</w:t>
            </w:r>
          </w:p>
        </w:tc>
      </w:tr>
      <w:tr w:rsidR="006261D1" w:rsidRPr="006B61EC" w:rsidTr="006B61EC">
        <w:tc>
          <w:tcPr>
            <w:tcW w:w="2961" w:type="dxa"/>
            <w:vAlign w:val="center"/>
          </w:tcPr>
          <w:p w:rsidR="006261D1" w:rsidRPr="006B61EC" w:rsidRDefault="00AC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Decreto 1083 de 2015</w:t>
            </w:r>
          </w:p>
        </w:tc>
        <w:tc>
          <w:tcPr>
            <w:tcW w:w="5946" w:type="dxa"/>
          </w:tcPr>
          <w:p w:rsidR="006261D1" w:rsidRPr="006B61EC" w:rsidRDefault="00AC2CE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sz w:val="20"/>
                <w:szCs w:val="20"/>
              </w:rPr>
              <w:t>Por medio del cual se expide el Decreto Único Reglamentario del Sector de Función Pública.</w:t>
            </w:r>
          </w:p>
        </w:tc>
      </w:tr>
      <w:tr w:rsidR="006261D1" w:rsidRPr="006B61EC" w:rsidTr="006B61EC">
        <w:tc>
          <w:tcPr>
            <w:tcW w:w="2961" w:type="dxa"/>
            <w:vAlign w:val="center"/>
          </w:tcPr>
          <w:p w:rsidR="006261D1" w:rsidRPr="006B61EC" w:rsidRDefault="00AC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Decreto 1083 de 2015 artículos 2.2.4.6 y 2.2.4.7. (Decreto 2539 de 2005)</w:t>
            </w:r>
          </w:p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946" w:type="dxa"/>
          </w:tcPr>
          <w:p w:rsidR="006261D1" w:rsidRPr="006B61EC" w:rsidRDefault="00AC2CE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sz w:val="20"/>
                <w:szCs w:val="20"/>
              </w:rPr>
              <w:t>Por el cual se establecen las competencias laborales generales para los empleos públicos de los distintos niveles jerárquicos de las entidades a las cuales se aplican los Decretos-Ley 770 y 785 de 2005.</w:t>
            </w:r>
          </w:p>
        </w:tc>
      </w:tr>
      <w:tr w:rsidR="006261D1" w:rsidRPr="006B61EC" w:rsidTr="006B61EC">
        <w:tc>
          <w:tcPr>
            <w:tcW w:w="2961" w:type="dxa"/>
            <w:vAlign w:val="center"/>
          </w:tcPr>
          <w:p w:rsidR="006261D1" w:rsidRPr="006B61EC" w:rsidRDefault="00AC2CE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sz w:val="20"/>
                <w:szCs w:val="20"/>
              </w:rPr>
              <w:t>Ley 1960 de 2019</w:t>
            </w:r>
          </w:p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946" w:type="dxa"/>
          </w:tcPr>
          <w:p w:rsidR="006261D1" w:rsidRPr="006B61EC" w:rsidRDefault="00AC2CE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B61EC">
              <w:rPr>
                <w:rFonts w:ascii="Verdana" w:eastAsia="Verdana" w:hAnsi="Verdana" w:cs="Verdana"/>
                <w:sz w:val="20"/>
                <w:szCs w:val="20"/>
              </w:rPr>
              <w:t>Por el cual se modifican la Ley 909 de 2004, el Decreto Ley 1567 de 1998 y se dictan otras disposiciones</w:t>
            </w:r>
          </w:p>
        </w:tc>
      </w:tr>
    </w:tbl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jc w:val="center"/>
        <w:rPr>
          <w:rFonts w:ascii="Verdana" w:eastAsia="Verdana" w:hAnsi="Verdana" w:cs="Verdana"/>
          <w:color w:val="FF0000"/>
          <w:sz w:val="22"/>
          <w:szCs w:val="22"/>
        </w:rPr>
      </w:pPr>
      <w:r w:rsidRPr="006B61EC">
        <w:rPr>
          <w:rFonts w:ascii="Verdana" w:eastAsia="Verdana" w:hAnsi="Verdana" w:cs="Verdana"/>
          <w:noProof/>
          <w:sz w:val="22"/>
          <w:szCs w:val="22"/>
        </w:rPr>
        <w:drawing>
          <wp:inline distT="0" distB="0" distL="0" distR="0">
            <wp:extent cx="5219700" cy="2256155"/>
            <wp:effectExtent l="0" t="0" r="0" b="0"/>
            <wp:docPr id="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19563" t="32837" r="24240" b="22197"/>
                    <a:stretch>
                      <a:fillRect/>
                    </a:stretch>
                  </pic:blipFill>
                  <pic:spPr>
                    <a:xfrm>
                      <a:off x="0" y="0"/>
                      <a:ext cx="5220342" cy="2256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61D1" w:rsidRPr="006B61EC" w:rsidRDefault="00AC2CEE">
      <w:pPr>
        <w:ind w:left="360"/>
        <w:jc w:val="center"/>
        <w:rPr>
          <w:rFonts w:ascii="Verdana" w:eastAsia="Verdana" w:hAnsi="Verdana" w:cs="Verdana"/>
          <w:sz w:val="16"/>
          <w:szCs w:val="16"/>
        </w:rPr>
      </w:pPr>
      <w:r w:rsidRPr="006B61EC">
        <w:rPr>
          <w:rFonts w:ascii="Verdana" w:eastAsia="Verdana" w:hAnsi="Verdana" w:cs="Verdana"/>
          <w:sz w:val="16"/>
          <w:szCs w:val="16"/>
        </w:rPr>
        <w:t>Figura 1 - Sistema nacional de capacitación y sus componentes Fuente: Decreto ley 1567 de 1998</w:t>
      </w:r>
    </w:p>
    <w:p w:rsidR="006261D1" w:rsidRPr="006B61EC" w:rsidRDefault="006261D1">
      <w:pPr>
        <w:ind w:left="360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:rsidR="006261D1" w:rsidRPr="006B61EC" w:rsidRDefault="00AC2CEE">
      <w:pPr>
        <w:pStyle w:val="Ttulo1"/>
        <w:numPr>
          <w:ilvl w:val="0"/>
          <w:numId w:val="1"/>
        </w:numPr>
        <w:spacing w:before="360" w:line="240" w:lineRule="auto"/>
        <w:jc w:val="both"/>
        <w:rPr>
          <w:rFonts w:ascii="Verdana" w:eastAsia="Verdana" w:hAnsi="Verdana" w:cs="Verdana"/>
          <w:sz w:val="22"/>
          <w:szCs w:val="22"/>
        </w:rPr>
      </w:pPr>
      <w:bookmarkStart w:id="3" w:name="_heading=h.3znysh7" w:colFirst="0" w:colLast="0"/>
      <w:bookmarkEnd w:id="3"/>
      <w:r w:rsidRPr="006B61EC">
        <w:rPr>
          <w:rFonts w:ascii="Verdana" w:eastAsia="Verdana" w:hAnsi="Verdana" w:cs="Verdana"/>
          <w:sz w:val="22"/>
          <w:szCs w:val="22"/>
        </w:rPr>
        <w:lastRenderedPageBreak/>
        <w:t>OBJETIVO GENERAL</w:t>
      </w:r>
    </w:p>
    <w:p w:rsidR="006261D1" w:rsidRPr="006B61EC" w:rsidRDefault="006261D1">
      <w:pPr>
        <w:rPr>
          <w:rFonts w:ascii="Verdana" w:eastAsia="Verdana" w:hAnsi="Verdana" w:cs="Verdana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Desarrollar en los servidores públicos del INSOR, capacidades y competencias que permitan liderar las transformaciones que se requieren en los diferentes contextos en los que se desenvuelven las entidades públicas del orden nacional.</w:t>
      </w:r>
    </w:p>
    <w:p w:rsidR="006261D1" w:rsidRPr="006B61EC" w:rsidRDefault="00AC2CEE">
      <w:pPr>
        <w:pStyle w:val="Ttulo1"/>
        <w:numPr>
          <w:ilvl w:val="1"/>
          <w:numId w:val="1"/>
        </w:numPr>
        <w:spacing w:before="360" w:line="240" w:lineRule="auto"/>
        <w:jc w:val="both"/>
        <w:rPr>
          <w:rFonts w:ascii="Verdana" w:eastAsia="Verdana" w:hAnsi="Verdana" w:cs="Verdana"/>
          <w:b w:val="0"/>
          <w:sz w:val="22"/>
          <w:szCs w:val="22"/>
        </w:rPr>
      </w:pPr>
      <w:bookmarkStart w:id="4" w:name="_heading=h.2et92p0" w:colFirst="0" w:colLast="0"/>
      <w:bookmarkEnd w:id="4"/>
      <w:r w:rsidRPr="006B61EC">
        <w:rPr>
          <w:rFonts w:ascii="Verdana" w:eastAsia="Verdana" w:hAnsi="Verdana" w:cs="Verdana"/>
          <w:sz w:val="22"/>
          <w:szCs w:val="22"/>
        </w:rPr>
        <w:t>Objetivos Específicos</w:t>
      </w:r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widowControl/>
        <w:numPr>
          <w:ilvl w:val="0"/>
          <w:numId w:val="3"/>
        </w:num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Fortalecer el desarrollo de competencias en los servidores del INSOR de acuerdo con lo establecido en el Decreto 2539 de 2005 y aquellas relacionadas en el manual de funciones de la entidad, con el fin de mejorar su desempeño laboral y contribuir al logro</w:t>
      </w:r>
      <w:r w:rsidRPr="006B61EC">
        <w:rPr>
          <w:rFonts w:ascii="Verdana" w:eastAsia="Verdana" w:hAnsi="Verdana" w:cs="Verdana"/>
          <w:sz w:val="22"/>
          <w:szCs w:val="22"/>
        </w:rPr>
        <w:t xml:space="preserve"> de los objetivos estratégicos institucionales.</w:t>
      </w:r>
    </w:p>
    <w:p w:rsidR="006261D1" w:rsidRPr="006B61EC" w:rsidRDefault="00AC2CEE">
      <w:pPr>
        <w:widowControl/>
        <w:numPr>
          <w:ilvl w:val="0"/>
          <w:numId w:val="3"/>
        </w:num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Integrar a través del proceso de inducción a los nuevos servidores al Sistema de Gestión de Calidad y fortalecer su formación integral hacia el Estado y la Cultura Organizacional del Instituto Nacional para S</w:t>
      </w:r>
      <w:r w:rsidRPr="006B61EC">
        <w:rPr>
          <w:rFonts w:ascii="Verdana" w:eastAsia="Verdana" w:hAnsi="Verdana" w:cs="Verdana"/>
          <w:sz w:val="22"/>
          <w:szCs w:val="22"/>
        </w:rPr>
        <w:t>ordos – INSOR.</w:t>
      </w:r>
    </w:p>
    <w:p w:rsidR="006261D1" w:rsidRPr="006B61EC" w:rsidRDefault="00AC2CEE">
      <w:pPr>
        <w:widowControl/>
        <w:numPr>
          <w:ilvl w:val="0"/>
          <w:numId w:val="3"/>
        </w:num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 xml:space="preserve">Generar espacios para la integración del servidor a la cultura organizacional y al estado por medio de los procesos de Inducción y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Reinducción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>, en virtud de los cambios y actualizaciones producidas en los procesos y objetivos institucionales</w:t>
      </w:r>
      <w:r w:rsidRPr="006B61EC">
        <w:rPr>
          <w:rFonts w:ascii="Verdana" w:eastAsia="Verdana" w:hAnsi="Verdana" w:cs="Verdana"/>
          <w:sz w:val="22"/>
          <w:szCs w:val="22"/>
        </w:rPr>
        <w:t>.</w:t>
      </w:r>
    </w:p>
    <w:p w:rsidR="006261D1" w:rsidRPr="006B61EC" w:rsidRDefault="00AC2CEE">
      <w:pPr>
        <w:widowControl/>
        <w:numPr>
          <w:ilvl w:val="0"/>
          <w:numId w:val="3"/>
        </w:num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Propender por la continua actualización a los servidores de la Entidad ante a los cambios normativos que le impacten en el ejercicio de sus funciones.</w:t>
      </w:r>
    </w:p>
    <w:p w:rsidR="006261D1" w:rsidRPr="006B61EC" w:rsidRDefault="00AC2CEE">
      <w:pPr>
        <w:pStyle w:val="Ttulo1"/>
        <w:numPr>
          <w:ilvl w:val="0"/>
          <w:numId w:val="1"/>
        </w:numPr>
        <w:spacing w:before="360" w:line="240" w:lineRule="auto"/>
        <w:jc w:val="both"/>
        <w:rPr>
          <w:rFonts w:ascii="Verdana" w:eastAsia="Verdana" w:hAnsi="Verdana" w:cs="Verdana"/>
          <w:sz w:val="22"/>
          <w:szCs w:val="22"/>
        </w:rPr>
      </w:pPr>
      <w:bookmarkStart w:id="5" w:name="_heading=h.tyjcwt" w:colFirst="0" w:colLast="0"/>
      <w:bookmarkEnd w:id="5"/>
      <w:r w:rsidRPr="006B61EC">
        <w:rPr>
          <w:rFonts w:ascii="Verdana" w:eastAsia="Verdana" w:hAnsi="Verdana" w:cs="Verdana"/>
          <w:sz w:val="22"/>
          <w:szCs w:val="22"/>
        </w:rPr>
        <w:t xml:space="preserve">EJES TEMÁTICOS </w:t>
      </w:r>
    </w:p>
    <w:p w:rsidR="006261D1" w:rsidRPr="006B61EC" w:rsidRDefault="006261D1">
      <w:pPr>
        <w:jc w:val="both"/>
        <w:rPr>
          <w:rFonts w:ascii="Verdana" w:eastAsia="Verdana" w:hAnsi="Verdana" w:cs="Verdana"/>
        </w:rPr>
      </w:pPr>
    </w:p>
    <w:p w:rsidR="006261D1" w:rsidRPr="006B61EC" w:rsidRDefault="00AC2CE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 xml:space="preserve">De acuerdo a los </w:t>
      </w:r>
      <w:r w:rsidRPr="006B61EC">
        <w:rPr>
          <w:rFonts w:ascii="Verdana" w:eastAsia="Verdana" w:hAnsi="Verdana" w:cs="Verdana"/>
          <w:sz w:val="22"/>
          <w:szCs w:val="22"/>
        </w:rPr>
        <w:t>lineamientos</w:t>
      </w:r>
      <w:r w:rsidRPr="006B61EC">
        <w:rPr>
          <w:rFonts w:ascii="Verdana" w:eastAsia="Verdana" w:hAnsi="Verdana" w:cs="Verdana"/>
          <w:color w:val="000000"/>
          <w:sz w:val="22"/>
          <w:szCs w:val="22"/>
        </w:rPr>
        <w:t xml:space="preserve"> del Departamento Administrativo de la Función Pública, s</w:t>
      </w:r>
      <w:r w:rsidRPr="006B61EC">
        <w:rPr>
          <w:rFonts w:ascii="Verdana" w:eastAsia="Verdana" w:hAnsi="Verdana" w:cs="Verdana"/>
          <w:color w:val="000000"/>
          <w:sz w:val="22"/>
          <w:szCs w:val="22"/>
        </w:rPr>
        <w:t>e parte desde el enfoque de desarrollo humano en el que las personas movilizan las organizaciones, las definen y son ellas quienes finalmente se encargan de generar los bienes y servicios públicos a cargo de cada entidad</w:t>
      </w: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AC2CE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>De lo anterior, se derivan un conj</w:t>
      </w:r>
      <w:r w:rsidRPr="006B61EC">
        <w:rPr>
          <w:rFonts w:ascii="Verdana" w:eastAsia="Verdana" w:hAnsi="Verdana" w:cs="Verdana"/>
          <w:color w:val="000000"/>
          <w:sz w:val="22"/>
          <w:szCs w:val="22"/>
        </w:rPr>
        <w:t>unto de valores, principios y conductas e incluso temáticas organizacionales públicas prioritarias para el Estado y que deben verse reflejados en la gestión institucional de las entidades públicas e incluso en su cultura organizacional. (Figura 2)</w:t>
      </w: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AC2CEE">
      <w:pPr>
        <w:jc w:val="center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16"/>
          <w:szCs w:val="16"/>
        </w:rPr>
        <w:t>Figura 2. Ciclo de formación orientado por las temáticas priorizadas.</w:t>
      </w:r>
    </w:p>
    <w:p w:rsidR="006261D1" w:rsidRPr="006B61EC" w:rsidRDefault="00AC2CEE">
      <w:pPr>
        <w:ind w:left="360"/>
        <w:jc w:val="center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noProof/>
          <w:sz w:val="22"/>
          <w:szCs w:val="22"/>
        </w:rPr>
        <w:drawing>
          <wp:inline distT="0" distB="0" distL="0" distR="0">
            <wp:extent cx="4029075" cy="1647812"/>
            <wp:effectExtent l="0" t="0" r="0" b="0"/>
            <wp:docPr id="5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l="26647" t="24753" r="30922" b="34191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647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61D1" w:rsidRPr="006B61EC" w:rsidRDefault="00AC2CEE">
      <w:pPr>
        <w:tabs>
          <w:tab w:val="left" w:pos="7365"/>
        </w:tabs>
        <w:jc w:val="center"/>
        <w:rPr>
          <w:rFonts w:ascii="Verdana" w:eastAsia="Verdana" w:hAnsi="Verdana" w:cs="Verdana"/>
          <w:sz w:val="16"/>
          <w:szCs w:val="16"/>
        </w:rPr>
      </w:pPr>
      <w:r w:rsidRPr="006B61EC">
        <w:rPr>
          <w:rFonts w:ascii="Verdana" w:eastAsia="Verdana" w:hAnsi="Verdana" w:cs="Verdana"/>
          <w:sz w:val="16"/>
          <w:szCs w:val="16"/>
        </w:rPr>
        <w:t>Fuente: Dirección de Empleo Público – Función Pública, 2019</w:t>
      </w:r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La priorización temática que se ofrece a las entidades públicas se construye sobre la base de las capacidades y conocimi</w:t>
      </w:r>
      <w:r w:rsidRPr="006B61EC">
        <w:rPr>
          <w:rFonts w:ascii="Verdana" w:eastAsia="Verdana" w:hAnsi="Verdana" w:cs="Verdana"/>
          <w:sz w:val="22"/>
          <w:szCs w:val="22"/>
        </w:rPr>
        <w:t xml:space="preserve">entos planteados en este Plan y se incorporan los siguientes ejes temáticos que agregarán valor a la formación y, por ende, al desempeño del servidor público mediante su desarrollo integral y para la orientación del ejercicio de sus funciones: </w:t>
      </w:r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jc w:val="center"/>
        <w:rPr>
          <w:rFonts w:ascii="Verdana" w:eastAsia="Verdana" w:hAnsi="Verdana" w:cs="Verdana"/>
          <w:sz w:val="16"/>
          <w:szCs w:val="16"/>
        </w:rPr>
      </w:pPr>
      <w:r w:rsidRPr="006B61EC">
        <w:rPr>
          <w:rFonts w:ascii="Verdana" w:eastAsia="Verdana" w:hAnsi="Verdana" w:cs="Verdana"/>
          <w:sz w:val="16"/>
          <w:szCs w:val="16"/>
        </w:rPr>
        <w:t xml:space="preserve">Figura 3. </w:t>
      </w:r>
      <w:r w:rsidRPr="006B61EC">
        <w:rPr>
          <w:rFonts w:ascii="Verdana" w:eastAsia="Verdana" w:hAnsi="Verdana" w:cs="Verdana"/>
          <w:sz w:val="16"/>
          <w:szCs w:val="16"/>
        </w:rPr>
        <w:t>Ejes temáticos priorizados</w:t>
      </w:r>
    </w:p>
    <w:p w:rsidR="006261D1" w:rsidRPr="006B61EC" w:rsidRDefault="00AC2CEE">
      <w:pPr>
        <w:tabs>
          <w:tab w:val="left" w:pos="7365"/>
        </w:tabs>
        <w:jc w:val="center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1263015</wp:posOffset>
            </wp:positionH>
            <wp:positionV relativeFrom="paragraph">
              <wp:posOffset>24130</wp:posOffset>
            </wp:positionV>
            <wp:extent cx="2828925" cy="2203450"/>
            <wp:effectExtent l="0" t="0" r="0" b="0"/>
            <wp:wrapSquare wrapText="bothSides" distT="0" distB="0" distL="114300" distR="114300"/>
            <wp:docPr id="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26137" t="19017" r="28206" b="5513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20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16"/>
          <w:szCs w:val="16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16"/>
          <w:szCs w:val="16"/>
        </w:rPr>
      </w:pP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16"/>
          <w:szCs w:val="16"/>
        </w:rPr>
      </w:pPr>
    </w:p>
    <w:p w:rsidR="006261D1" w:rsidRPr="006B61EC" w:rsidRDefault="00AC2CEE">
      <w:pPr>
        <w:tabs>
          <w:tab w:val="left" w:pos="7365"/>
        </w:tabs>
        <w:jc w:val="center"/>
        <w:rPr>
          <w:rFonts w:ascii="Verdana" w:eastAsia="Verdana" w:hAnsi="Verdana" w:cs="Verdana"/>
          <w:sz w:val="16"/>
          <w:szCs w:val="16"/>
        </w:rPr>
      </w:pPr>
      <w:r w:rsidRPr="006B61EC">
        <w:rPr>
          <w:rFonts w:ascii="Verdana" w:eastAsia="Verdana" w:hAnsi="Verdana" w:cs="Verdana"/>
          <w:sz w:val="16"/>
          <w:szCs w:val="16"/>
        </w:rPr>
        <w:t>Fuente Dirección de Empleo Público - Función Pública y ESAP, 2020</w:t>
      </w:r>
    </w:p>
    <w:p w:rsidR="006261D1" w:rsidRPr="006B61EC" w:rsidRDefault="006261D1">
      <w:pPr>
        <w:tabs>
          <w:tab w:val="left" w:pos="7365"/>
        </w:tabs>
        <w:jc w:val="center"/>
        <w:rPr>
          <w:rFonts w:ascii="Verdana" w:eastAsia="Verdana" w:hAnsi="Verdana" w:cs="Verdana"/>
          <w:sz w:val="16"/>
          <w:szCs w:val="16"/>
        </w:rPr>
      </w:pPr>
    </w:p>
    <w:p w:rsidR="006261D1" w:rsidRPr="006B61EC" w:rsidRDefault="00AC2CEE">
      <w:pPr>
        <w:pStyle w:val="Ttulo1"/>
        <w:numPr>
          <w:ilvl w:val="1"/>
          <w:numId w:val="1"/>
        </w:numPr>
        <w:spacing w:before="360" w:line="240" w:lineRule="auto"/>
        <w:jc w:val="both"/>
        <w:rPr>
          <w:rFonts w:ascii="Verdana" w:eastAsia="Verdana" w:hAnsi="Verdana" w:cs="Verdana"/>
          <w:sz w:val="22"/>
          <w:szCs w:val="22"/>
        </w:rPr>
      </w:pPr>
      <w:bookmarkStart w:id="6" w:name="_heading=h.3dy6vkm" w:colFirst="0" w:colLast="0"/>
      <w:bookmarkEnd w:id="6"/>
      <w:proofErr w:type="spellStart"/>
      <w:r w:rsidRPr="006B61EC">
        <w:rPr>
          <w:rFonts w:ascii="Verdana" w:eastAsia="Verdana" w:hAnsi="Verdana" w:cs="Verdana"/>
          <w:sz w:val="22"/>
          <w:szCs w:val="22"/>
        </w:rPr>
        <w:t>Eje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1.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Gestión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del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conocimiento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y la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innovación</w:t>
      </w:r>
      <w:proofErr w:type="spellEnd"/>
    </w:p>
    <w:p w:rsidR="006261D1" w:rsidRPr="006B61EC" w:rsidRDefault="006261D1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Uno de los activos más importantes de las organizaciones públicas es su conocimiento, pues este le permite diseñar, gestionar y ofrecer los bienes o servicios públicos que suministra a los grupos de valor, que constituyen su razón de ser.</w:t>
      </w:r>
    </w:p>
    <w:p w:rsidR="006261D1" w:rsidRPr="006B61EC" w:rsidRDefault="006261D1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lastRenderedPageBreak/>
        <w:t xml:space="preserve">En concordancia </w:t>
      </w:r>
      <w:r w:rsidRPr="006B61EC">
        <w:rPr>
          <w:rFonts w:ascii="Verdana" w:eastAsia="Verdana" w:hAnsi="Verdana" w:cs="Verdana"/>
          <w:sz w:val="22"/>
          <w:szCs w:val="22"/>
        </w:rPr>
        <w:t>con lo anterior, el Manual operativo del MIPG (2019) dice que: (…) la gestión del conocimiento puede entenderse como el proceso mediante el cual se implementan acciones, mecanismos o instrumentos orientados a generar, identificar, valorar, capturar, transf</w:t>
      </w:r>
      <w:r w:rsidRPr="006B61EC">
        <w:rPr>
          <w:rFonts w:ascii="Verdana" w:eastAsia="Verdana" w:hAnsi="Verdana" w:cs="Verdana"/>
          <w:sz w:val="22"/>
          <w:szCs w:val="22"/>
        </w:rPr>
        <w:t>erir, apropiar, analizar, difundir y preservar el conocimiento para fortalecer la gestión de las entidades públicas, facilitar procesos de innovación y mejorar la prestación de bienes y servicios a sus grupos de valor. (…)</w:t>
      </w:r>
    </w:p>
    <w:p w:rsidR="006261D1" w:rsidRPr="006B61EC" w:rsidRDefault="006261D1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ind w:left="426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En este contexto, el tipo de com</w:t>
      </w:r>
      <w:r w:rsidRPr="006B61EC">
        <w:rPr>
          <w:rFonts w:ascii="Verdana" w:eastAsia="Verdana" w:hAnsi="Verdana" w:cs="Verdana"/>
          <w:sz w:val="22"/>
          <w:szCs w:val="22"/>
        </w:rPr>
        <w:t xml:space="preserve">petencias que deben fortalecerse en los servidores públicos deberán estar asociadas con el desarrollo de los siguientes ejes (Figura 4), establecidos para la gestión del conocimiento y la innovación en el marco del modelo integrado de planeación y gestión </w:t>
      </w:r>
      <w:r w:rsidRPr="006B61EC">
        <w:rPr>
          <w:rFonts w:ascii="Verdana" w:eastAsia="Verdana" w:hAnsi="Verdana" w:cs="Verdana"/>
          <w:sz w:val="22"/>
          <w:szCs w:val="22"/>
        </w:rPr>
        <w:t>(MIPG):</w:t>
      </w:r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ind w:left="360"/>
        <w:jc w:val="center"/>
        <w:rPr>
          <w:rFonts w:ascii="Verdana" w:eastAsia="Verdana" w:hAnsi="Verdana" w:cs="Verdana"/>
          <w:sz w:val="22"/>
          <w:szCs w:val="22"/>
          <w:highlight w:val="yellow"/>
        </w:rPr>
      </w:pPr>
      <w:r w:rsidRPr="006B61EC">
        <w:rPr>
          <w:rFonts w:ascii="Verdana" w:eastAsia="Verdana" w:hAnsi="Verdana" w:cs="Verdana"/>
          <w:noProof/>
          <w:sz w:val="22"/>
          <w:szCs w:val="22"/>
        </w:rPr>
        <w:drawing>
          <wp:inline distT="0" distB="0" distL="0" distR="0">
            <wp:extent cx="4838700" cy="3024187"/>
            <wp:effectExtent l="0" t="0" r="0" b="0"/>
            <wp:docPr id="5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l="25457" t="31696" r="25662" b="1396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24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61D1" w:rsidRPr="006B61EC" w:rsidRDefault="00AC2CEE">
      <w:pPr>
        <w:jc w:val="center"/>
        <w:rPr>
          <w:rFonts w:ascii="Verdana" w:eastAsia="Verdana" w:hAnsi="Verdana" w:cs="Verdana"/>
          <w:sz w:val="16"/>
          <w:szCs w:val="16"/>
        </w:rPr>
      </w:pPr>
      <w:r w:rsidRPr="006B61EC">
        <w:rPr>
          <w:rFonts w:ascii="Verdana" w:eastAsia="Verdana" w:hAnsi="Verdana" w:cs="Verdana"/>
          <w:sz w:val="16"/>
          <w:szCs w:val="16"/>
        </w:rPr>
        <w:t xml:space="preserve">Fuente: Dirección de Gestión del Conocimiento, DAFP, 2017 </w:t>
      </w:r>
    </w:p>
    <w:p w:rsidR="006261D1" w:rsidRPr="006B61EC" w:rsidRDefault="00AC2CEE">
      <w:pPr>
        <w:jc w:val="center"/>
        <w:rPr>
          <w:rFonts w:ascii="Verdana" w:eastAsia="Verdana" w:hAnsi="Verdana" w:cs="Verdana"/>
          <w:sz w:val="16"/>
          <w:szCs w:val="16"/>
        </w:rPr>
      </w:pPr>
      <w:r w:rsidRPr="006B61EC">
        <w:rPr>
          <w:rFonts w:ascii="Verdana" w:eastAsia="Verdana" w:hAnsi="Verdana" w:cs="Verdana"/>
          <w:sz w:val="16"/>
          <w:szCs w:val="16"/>
        </w:rPr>
        <w:t>Figura 4. Componentes de la gestión del conocimiento y la innovación.</w:t>
      </w:r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b/>
          <w:color w:val="2E75B5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Generación y producción</w:t>
      </w:r>
    </w:p>
    <w:p w:rsidR="006261D1" w:rsidRPr="006B61EC" w:rsidRDefault="00AC2CEE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La generación de nuevas ideas al interior de las entidades se da a través de mecanismos que puedan relacionarse con las actividades que buscan: idear, investigar, experimentar e innovar en el quehacer cotidiano (Manual Operativo MIPG, 2019, p.94).</w:t>
      </w:r>
    </w:p>
    <w:p w:rsidR="006261D1" w:rsidRDefault="006261D1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6B61EC" w:rsidRPr="006B61EC" w:rsidRDefault="006B61EC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2E75B5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lastRenderedPageBreak/>
        <w:t>Herrami</w:t>
      </w: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entas para el uso y apropiación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>:</w:t>
      </w:r>
    </w:p>
    <w:p w:rsidR="006261D1" w:rsidRDefault="00AC2CEE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El principal objetivo de este componente es facilitar la implementación de los demás componentes a través de la organización de los datos, de la información y del conocimiento en sistemas que sean usados de manera constante</w:t>
      </w:r>
      <w:r w:rsidRPr="006B61EC">
        <w:rPr>
          <w:rFonts w:ascii="Verdana" w:eastAsia="Verdana" w:hAnsi="Verdana" w:cs="Verdana"/>
          <w:sz w:val="22"/>
          <w:szCs w:val="22"/>
        </w:rPr>
        <w:t xml:space="preserve"> y organizada por los servidores públicos de la entidad (Manual Operativo MIPG, 2019, p.98).</w:t>
      </w:r>
    </w:p>
    <w:p w:rsidR="006B61EC" w:rsidRPr="006B61EC" w:rsidRDefault="006B61EC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b/>
          <w:color w:val="2E75B5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Analítica institucional:</w:t>
      </w:r>
    </w:p>
    <w:p w:rsidR="006261D1" w:rsidRPr="006B61EC" w:rsidRDefault="00AC2CEE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 xml:space="preserve">El propósito de este componente es que las entidades puedan tomar decisiones basadas en evidencia, con acciones como: la medición para </w:t>
      </w:r>
      <w:r w:rsidRPr="006B61EC">
        <w:rPr>
          <w:rFonts w:ascii="Verdana" w:eastAsia="Verdana" w:hAnsi="Verdana" w:cs="Verdana"/>
          <w:sz w:val="22"/>
          <w:szCs w:val="22"/>
        </w:rPr>
        <w:t xml:space="preserve">el control y monitoreo, el análisis y visualización de la información para identificar el cumplimiento de objetivos y la priorización de actividades derivadas del seguimiento continuo de los planes, programas y proyectos desarrollados, entre otras (Manual </w:t>
      </w:r>
      <w:r w:rsidRPr="006B61EC">
        <w:rPr>
          <w:rFonts w:ascii="Verdana" w:eastAsia="Verdana" w:hAnsi="Verdana" w:cs="Verdana"/>
          <w:sz w:val="22"/>
          <w:szCs w:val="22"/>
        </w:rPr>
        <w:t>operativo MIPG, 2019, p.99).</w:t>
      </w:r>
    </w:p>
    <w:p w:rsidR="006261D1" w:rsidRPr="006B61EC" w:rsidRDefault="006261D1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2E75B5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Cultura de compartir y difundir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>:</w:t>
      </w:r>
    </w:p>
    <w:p w:rsidR="006261D1" w:rsidRPr="006B61EC" w:rsidRDefault="00AC2CEE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Este componente se ocupa de favorecer espacios y mecanismos de difusión del conocimiento a través de las comunidades de práctica, la socialización de lecciones aprendidas y buenas prácticas y e</w:t>
      </w:r>
      <w:r w:rsidRPr="006B61EC">
        <w:rPr>
          <w:rFonts w:ascii="Verdana" w:eastAsia="Verdana" w:hAnsi="Verdana" w:cs="Verdana"/>
          <w:sz w:val="22"/>
          <w:szCs w:val="22"/>
        </w:rPr>
        <w:t>l fortalecimiento y desarrollo del proceso de enseñanza–aprendizaje organizacional, entre otros.</w:t>
      </w:r>
    </w:p>
    <w:p w:rsidR="006261D1" w:rsidRPr="006B61EC" w:rsidRDefault="006261D1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La cultura de compartir y difundir se estructura en la concepción de consolidar la memoria institucional y el fortalecimiento compartido del capital intelectu</w:t>
      </w:r>
      <w:r w:rsidRPr="006B61EC">
        <w:rPr>
          <w:rFonts w:ascii="Verdana" w:eastAsia="Verdana" w:hAnsi="Verdana" w:cs="Verdana"/>
          <w:sz w:val="22"/>
          <w:szCs w:val="22"/>
        </w:rPr>
        <w:t>al de la Entidad. (Plan Nacional de Formación y Capacitación (2020-2030).</w:t>
      </w:r>
    </w:p>
    <w:p w:rsidR="006261D1" w:rsidRPr="006B61EC" w:rsidRDefault="00AC2CEE">
      <w:pPr>
        <w:pStyle w:val="Ttulo1"/>
        <w:numPr>
          <w:ilvl w:val="1"/>
          <w:numId w:val="1"/>
        </w:numPr>
        <w:spacing w:before="360" w:line="240" w:lineRule="auto"/>
        <w:jc w:val="both"/>
        <w:rPr>
          <w:rFonts w:ascii="Verdana" w:eastAsia="Verdana" w:hAnsi="Verdana" w:cs="Verdana"/>
          <w:b w:val="0"/>
          <w:sz w:val="22"/>
          <w:szCs w:val="22"/>
        </w:rPr>
      </w:pPr>
      <w:bookmarkStart w:id="7" w:name="_heading=h.1t3h5sf" w:colFirst="0" w:colLast="0"/>
      <w:bookmarkEnd w:id="7"/>
      <w:proofErr w:type="spellStart"/>
      <w:r w:rsidRPr="006B61EC">
        <w:rPr>
          <w:rFonts w:ascii="Verdana" w:eastAsia="Verdana" w:hAnsi="Verdana" w:cs="Verdana"/>
          <w:sz w:val="22"/>
          <w:szCs w:val="22"/>
        </w:rPr>
        <w:t>Eje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2.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Creación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de valor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público</w:t>
      </w:r>
      <w:proofErr w:type="spellEnd"/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Se orienta principalmente a la capacidad que tienen los servidores para que, a partir de la toma de decisiones y la implementación de políticas públicas, se genere satisfacción al ciudadano y se construya confianza y legitimidad en la relación Estado-ciuda</w:t>
      </w:r>
      <w:r w:rsidRPr="006B61EC">
        <w:rPr>
          <w:rFonts w:ascii="Verdana" w:eastAsia="Verdana" w:hAnsi="Verdana" w:cs="Verdana"/>
          <w:sz w:val="22"/>
          <w:szCs w:val="22"/>
        </w:rPr>
        <w:t>dano.</w:t>
      </w:r>
    </w:p>
    <w:p w:rsidR="006261D1" w:rsidRPr="006B61EC" w:rsidRDefault="006261D1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El concepto de creación de valor en el modelo que se analiza conduce al fin último de la gestión pública: producción de resultados que impacten de manera positiva a las personas y a la sociedad. La siguiente figura explica una perspectiva de generac</w:t>
      </w:r>
      <w:r w:rsidRPr="006B61EC">
        <w:rPr>
          <w:rFonts w:ascii="Verdana" w:eastAsia="Verdana" w:hAnsi="Verdana" w:cs="Verdana"/>
          <w:sz w:val="22"/>
          <w:szCs w:val="22"/>
        </w:rPr>
        <w:t>ión de valor público:</w:t>
      </w:r>
    </w:p>
    <w:p w:rsidR="006261D1" w:rsidRPr="006B61EC" w:rsidRDefault="006261D1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ind w:left="360" w:firstLine="1483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ind w:left="360" w:firstLine="1483"/>
        <w:jc w:val="both"/>
        <w:rPr>
          <w:rFonts w:ascii="Verdana" w:eastAsia="Verdana" w:hAnsi="Verdana" w:cs="Verdana"/>
          <w:sz w:val="22"/>
          <w:szCs w:val="22"/>
          <w:highlight w:val="yellow"/>
        </w:rPr>
      </w:pPr>
      <w:r w:rsidRPr="006B61EC">
        <w:rPr>
          <w:rFonts w:ascii="Verdana" w:eastAsia="Verdana" w:hAnsi="Verdana" w:cs="Verdana"/>
          <w:noProof/>
          <w:sz w:val="22"/>
          <w:szCs w:val="22"/>
        </w:rPr>
        <w:lastRenderedPageBreak/>
        <w:drawing>
          <wp:inline distT="0" distB="0" distL="0" distR="0">
            <wp:extent cx="2910908" cy="2517541"/>
            <wp:effectExtent l="0" t="0" r="0" b="0"/>
            <wp:docPr id="5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l="24101" t="15396" r="25661" b="7324"/>
                    <a:stretch>
                      <a:fillRect/>
                    </a:stretch>
                  </pic:blipFill>
                  <pic:spPr>
                    <a:xfrm>
                      <a:off x="0" y="0"/>
                      <a:ext cx="2910908" cy="2517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61D1" w:rsidRPr="006B61EC" w:rsidRDefault="00AC2CEE">
      <w:pPr>
        <w:ind w:left="360"/>
        <w:jc w:val="center"/>
        <w:rPr>
          <w:rFonts w:ascii="Verdana" w:eastAsia="Verdana" w:hAnsi="Verdana" w:cs="Verdana"/>
          <w:sz w:val="12"/>
          <w:szCs w:val="12"/>
        </w:rPr>
      </w:pPr>
      <w:r w:rsidRPr="006B61EC">
        <w:rPr>
          <w:rFonts w:ascii="Verdana" w:eastAsia="Verdana" w:hAnsi="Verdana" w:cs="Verdana"/>
          <w:sz w:val="12"/>
          <w:szCs w:val="12"/>
        </w:rPr>
        <w:t>Figura 5 Creación de valor público</w:t>
      </w:r>
    </w:p>
    <w:p w:rsidR="006261D1" w:rsidRPr="006B61EC" w:rsidRDefault="00AC2CEE">
      <w:pPr>
        <w:ind w:left="360"/>
        <w:jc w:val="center"/>
        <w:rPr>
          <w:rFonts w:ascii="Verdana" w:eastAsia="Verdana" w:hAnsi="Verdana" w:cs="Verdana"/>
          <w:sz w:val="12"/>
          <w:szCs w:val="12"/>
        </w:rPr>
      </w:pPr>
      <w:r w:rsidRPr="006B61EC">
        <w:rPr>
          <w:rFonts w:ascii="Verdana" w:eastAsia="Verdana" w:hAnsi="Verdana" w:cs="Verdana"/>
          <w:sz w:val="12"/>
          <w:szCs w:val="12"/>
        </w:rPr>
        <w:t>Fuente: Dirección de Empleo Público - Función Pública con base en Moreno, M. 2009</w:t>
      </w:r>
    </w:p>
    <w:p w:rsidR="006261D1" w:rsidRPr="006B61EC" w:rsidRDefault="006261D1">
      <w:pPr>
        <w:ind w:left="360"/>
        <w:jc w:val="center"/>
        <w:rPr>
          <w:rFonts w:ascii="Verdana" w:eastAsia="Verdana" w:hAnsi="Verdana" w:cs="Verdana"/>
          <w:sz w:val="16"/>
          <w:szCs w:val="16"/>
        </w:rPr>
      </w:pPr>
    </w:p>
    <w:p w:rsidR="006261D1" w:rsidRPr="006B61EC" w:rsidRDefault="00AC2CEE" w:rsidP="006B61EC">
      <w:pPr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De acuerdo con lo anterior, las actividades de capacitación y entrenamiento se conciben como una estrategia para generar cambios organizacionales. Con ello, se busca formar y adquirir las competencias que los servidores públicos requieren para un óptimo re</w:t>
      </w:r>
      <w:r w:rsidRPr="006B61EC">
        <w:rPr>
          <w:rFonts w:ascii="Verdana" w:eastAsia="Verdana" w:hAnsi="Verdana" w:cs="Verdana"/>
          <w:sz w:val="22"/>
          <w:szCs w:val="22"/>
        </w:rPr>
        <w:t>ndimiento, que les permita responder a las exigencias y demandas del entorno social, mediante un cambio de la cultura del servicio, generando valor público y un Estado más eficiente.</w:t>
      </w:r>
    </w:p>
    <w:p w:rsidR="006261D1" w:rsidRPr="006B61EC" w:rsidRDefault="00AC2CEE">
      <w:pPr>
        <w:pStyle w:val="Ttulo1"/>
        <w:numPr>
          <w:ilvl w:val="1"/>
          <w:numId w:val="1"/>
        </w:numPr>
        <w:spacing w:before="360" w:line="240" w:lineRule="auto"/>
        <w:jc w:val="both"/>
        <w:rPr>
          <w:rFonts w:ascii="Verdana" w:eastAsia="Verdana" w:hAnsi="Verdana" w:cs="Verdana"/>
          <w:b w:val="0"/>
          <w:sz w:val="22"/>
          <w:szCs w:val="22"/>
        </w:rPr>
      </w:pPr>
      <w:bookmarkStart w:id="8" w:name="_heading=h.4d34og8" w:colFirst="0" w:colLast="0"/>
      <w:bookmarkEnd w:id="8"/>
      <w:proofErr w:type="spellStart"/>
      <w:r w:rsidRPr="006B61EC">
        <w:rPr>
          <w:rFonts w:ascii="Verdana" w:eastAsia="Verdana" w:hAnsi="Verdana" w:cs="Verdana"/>
          <w:sz w:val="22"/>
          <w:szCs w:val="22"/>
        </w:rPr>
        <w:t>E</w:t>
      </w:r>
      <w:r w:rsidRPr="006B61EC">
        <w:rPr>
          <w:rFonts w:ascii="Verdana" w:eastAsia="Verdana" w:hAnsi="Verdana" w:cs="Verdana"/>
          <w:sz w:val="22"/>
          <w:szCs w:val="22"/>
        </w:rPr>
        <w:t>je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3.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Transformación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digital.</w:t>
      </w:r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tabs>
          <w:tab w:val="left" w:pos="7365"/>
        </w:tabs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La transformación digital es el proceso p</w:t>
      </w:r>
      <w:r w:rsidRPr="006B61EC">
        <w:rPr>
          <w:rFonts w:ascii="Verdana" w:eastAsia="Verdana" w:hAnsi="Verdana" w:cs="Verdana"/>
          <w:sz w:val="22"/>
          <w:szCs w:val="22"/>
        </w:rPr>
        <w:t>or el cual las organizaciones, empresas y entidades reorganizan sus métodos de trabajo y estrategias en general para obtener más beneficios gracias a la digitalización de los procesos y a la implementación dinámica de las tecnologías de la información y la</w:t>
      </w:r>
      <w:r w:rsidRPr="006B61EC">
        <w:rPr>
          <w:rFonts w:ascii="Verdana" w:eastAsia="Verdana" w:hAnsi="Verdana" w:cs="Verdana"/>
          <w:sz w:val="22"/>
          <w:szCs w:val="22"/>
        </w:rPr>
        <w:t xml:space="preserve"> comunicación de manera articulada con y por el ser humano.</w:t>
      </w: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65"/>
        </w:tabs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AC2CEE">
      <w:pPr>
        <w:tabs>
          <w:tab w:val="left" w:pos="7365"/>
        </w:tabs>
        <w:jc w:val="both"/>
        <w:rPr>
          <w:rFonts w:ascii="Verdana" w:eastAsia="Verdana" w:hAnsi="Verdana" w:cs="Verdana"/>
          <w:sz w:val="22"/>
          <w:szCs w:val="22"/>
        </w:rPr>
      </w:pPr>
      <w:bookmarkStart w:id="9" w:name="_heading=h.2s8eyo1" w:colFirst="0" w:colLast="0"/>
      <w:bookmarkEnd w:id="9"/>
      <w:r w:rsidRPr="006B61EC">
        <w:rPr>
          <w:rFonts w:ascii="Verdana" w:eastAsia="Verdana" w:hAnsi="Verdana" w:cs="Verdana"/>
          <w:sz w:val="22"/>
          <w:szCs w:val="22"/>
        </w:rPr>
        <w:t>Las tecnologías de la información y las comunicaciones (las nuevas tecnologías disruptivas y los sistemas interconectados que almacenan, gestionan y analizan información, entre otros) han impactado, prácticamente, todos los sectores de la vida cotidiana de</w:t>
      </w:r>
      <w:r w:rsidRPr="006B61EC">
        <w:rPr>
          <w:rFonts w:ascii="Verdana" w:eastAsia="Verdana" w:hAnsi="Verdana" w:cs="Verdana"/>
          <w:sz w:val="22"/>
          <w:szCs w:val="22"/>
        </w:rPr>
        <w:t xml:space="preserve"> las empresas privadas y empiezan a adoptarse en el sector público, pues ofrecen una solución para generar bienes y servicios públicos con mayor calidad y menores costos e incluso permiten ampliar el alcance de los servicios mediante las tecnologías de la </w:t>
      </w:r>
      <w:r w:rsidRPr="006B61EC">
        <w:rPr>
          <w:rFonts w:ascii="Verdana" w:eastAsia="Verdana" w:hAnsi="Verdana" w:cs="Verdana"/>
          <w:sz w:val="22"/>
          <w:szCs w:val="22"/>
        </w:rPr>
        <w:t>información y la comunicación (TIC), lo cual reduce costos transaccionales para la ciudadanía en el momento de acceder a dichos servicios públicos (Plan Nacional de Formación y Capacitación 2020 - 2030).</w:t>
      </w:r>
      <w:r w:rsidRPr="006B61EC">
        <w:rPr>
          <w:rFonts w:ascii="Verdana" w:eastAsia="Verdana" w:hAnsi="Verdana" w:cs="Verdana"/>
          <w:sz w:val="22"/>
          <w:szCs w:val="22"/>
        </w:rPr>
        <w:br/>
      </w:r>
    </w:p>
    <w:p w:rsidR="006261D1" w:rsidRPr="006B61EC" w:rsidRDefault="006261D1">
      <w:pPr>
        <w:tabs>
          <w:tab w:val="left" w:pos="7365"/>
        </w:tabs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tabs>
          <w:tab w:val="left" w:pos="7365"/>
        </w:tabs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pStyle w:val="Ttulo1"/>
        <w:numPr>
          <w:ilvl w:val="1"/>
          <w:numId w:val="1"/>
        </w:numPr>
        <w:spacing w:before="360" w:line="240" w:lineRule="auto"/>
        <w:jc w:val="both"/>
        <w:rPr>
          <w:rFonts w:ascii="Verdana" w:eastAsia="Verdana" w:hAnsi="Verdana" w:cs="Verdana"/>
          <w:b w:val="0"/>
          <w:sz w:val="22"/>
          <w:szCs w:val="22"/>
        </w:rPr>
      </w:pPr>
      <w:bookmarkStart w:id="10" w:name="_heading=h.17dp8vu" w:colFirst="0" w:colLast="0"/>
      <w:bookmarkEnd w:id="10"/>
      <w:proofErr w:type="spellStart"/>
      <w:r w:rsidRPr="006B61EC">
        <w:rPr>
          <w:rFonts w:ascii="Verdana" w:eastAsia="Verdana" w:hAnsi="Verdana" w:cs="Verdana"/>
          <w:sz w:val="22"/>
          <w:szCs w:val="22"/>
        </w:rPr>
        <w:t>Eje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4.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Probidad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ética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de lo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público</w:t>
      </w:r>
      <w:proofErr w:type="spellEnd"/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tabs>
          <w:tab w:val="left" w:pos="7365"/>
        </w:tabs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El entendi</w:t>
      </w:r>
      <w:r w:rsidRPr="006B61EC">
        <w:rPr>
          <w:rFonts w:ascii="Verdana" w:eastAsia="Verdana" w:hAnsi="Verdana" w:cs="Verdana"/>
          <w:sz w:val="22"/>
          <w:szCs w:val="22"/>
        </w:rPr>
        <w:t>miento de lo que cada servidor público debe llevar en su corazón y en su raciocinio, parte de lo que Bloom (2008) planteó que la identificación es un impulso inherente de reconocerse en valores, comportamientos, costumbres y actitudes de figuras significat</w:t>
      </w:r>
      <w:r w:rsidRPr="006B61EC">
        <w:rPr>
          <w:rFonts w:ascii="Verdana" w:eastAsia="Verdana" w:hAnsi="Verdana" w:cs="Verdana"/>
          <w:sz w:val="22"/>
          <w:szCs w:val="22"/>
        </w:rPr>
        <w:t>ivas en su entorno social; visto así, las personas persiguen activamente la identidad, así no lo evidencien todo el tiempo. Por otro lado, todo ser humano busca mejorar y proteger su identidad (Bloom 1990: 23)</w:t>
      </w:r>
      <w:r w:rsidRPr="006B61EC">
        <w:rPr>
          <w:rFonts w:ascii="Verdana" w:eastAsia="Verdana" w:hAnsi="Verdana" w:cs="Verdana"/>
          <w:sz w:val="22"/>
          <w:szCs w:val="22"/>
          <w:vertAlign w:val="superscript"/>
        </w:rPr>
        <w:footnoteReference w:id="1"/>
      </w:r>
      <w:r w:rsidRPr="006B61EC">
        <w:rPr>
          <w:rFonts w:ascii="Verdana" w:eastAsia="Verdana" w:hAnsi="Verdana" w:cs="Verdana"/>
          <w:sz w:val="22"/>
          <w:szCs w:val="22"/>
        </w:rPr>
        <w:t>. Desde esta perspectiva, el principal rasgo d</w:t>
      </w:r>
      <w:r w:rsidRPr="006B61EC">
        <w:rPr>
          <w:rFonts w:ascii="Verdana" w:eastAsia="Verdana" w:hAnsi="Verdana" w:cs="Verdana"/>
          <w:sz w:val="22"/>
          <w:szCs w:val="22"/>
        </w:rPr>
        <w:t>e identidad del servidor debe ser la ética de lo público.</w:t>
      </w:r>
    </w:p>
    <w:p w:rsidR="006261D1" w:rsidRPr="006B61EC" w:rsidRDefault="00AC2CEE">
      <w:pPr>
        <w:pStyle w:val="Ttulo1"/>
        <w:numPr>
          <w:ilvl w:val="0"/>
          <w:numId w:val="1"/>
        </w:numPr>
        <w:rPr>
          <w:rFonts w:ascii="Verdana" w:eastAsia="Verdana" w:hAnsi="Verdana" w:cs="Verdana"/>
          <w:sz w:val="22"/>
          <w:szCs w:val="22"/>
        </w:rPr>
      </w:pPr>
      <w:bookmarkStart w:id="11" w:name="_heading=h.3rdcrjn" w:colFirst="0" w:colLast="0"/>
      <w:bookmarkEnd w:id="11"/>
      <w:r w:rsidRPr="006B61EC">
        <w:rPr>
          <w:rFonts w:ascii="Verdana" w:eastAsia="Verdana" w:hAnsi="Verdana" w:cs="Verdana"/>
          <w:sz w:val="22"/>
          <w:szCs w:val="22"/>
        </w:rPr>
        <w:t>DIAGNÓSTICO DE NECESIDADES</w:t>
      </w:r>
    </w:p>
    <w:p w:rsidR="006261D1" w:rsidRPr="006B61EC" w:rsidRDefault="006261D1">
      <w:pPr>
        <w:rPr>
          <w:rFonts w:ascii="Verdana" w:hAnsi="Verdana"/>
        </w:rPr>
      </w:pPr>
    </w:p>
    <w:p w:rsidR="006261D1" w:rsidRPr="006B61EC" w:rsidRDefault="00AC2CEE">
      <w:pPr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El plan institucional de capacitación – PIC, del INSTITUTO NACIONAL PARA SORDOS – INSOR, se planteó de acuerdo con el Plan nacional de formación y capacitación 2020-2030,</w:t>
      </w:r>
      <w:r w:rsidRPr="006B61EC">
        <w:rPr>
          <w:rFonts w:ascii="Verdana" w:eastAsia="Verdana" w:hAnsi="Verdana" w:cs="Verdana"/>
          <w:sz w:val="22"/>
          <w:szCs w:val="22"/>
        </w:rPr>
        <w:t xml:space="preserve"> de igual manera se tuvo en cuenta los comentarios de los servidores sobre los programas de capacitación del PIC vigencia 2022; por otra parte, mediante correo electrónico algunas dependencias indicaron las diferentes temáticas a desarrollar en la vigencia</w:t>
      </w:r>
      <w:r w:rsidRPr="006B61EC">
        <w:rPr>
          <w:rFonts w:ascii="Verdana" w:eastAsia="Verdana" w:hAnsi="Verdana" w:cs="Verdana"/>
          <w:sz w:val="22"/>
          <w:szCs w:val="22"/>
        </w:rPr>
        <w:t xml:space="preserve"> 2023 desde sus áreas para los demás colaboradores de la entidad.</w:t>
      </w:r>
    </w:p>
    <w:p w:rsidR="006261D1" w:rsidRPr="006B61EC" w:rsidRDefault="006261D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pStyle w:val="Ttulo1"/>
        <w:numPr>
          <w:ilvl w:val="0"/>
          <w:numId w:val="1"/>
        </w:numPr>
        <w:spacing w:before="0" w:after="240" w:line="240" w:lineRule="auto"/>
        <w:rPr>
          <w:rFonts w:ascii="Verdana" w:eastAsia="Verdana" w:hAnsi="Verdana" w:cs="Verdana"/>
          <w:sz w:val="22"/>
          <w:szCs w:val="22"/>
        </w:rPr>
      </w:pPr>
      <w:bookmarkStart w:id="12" w:name="_heading=h.26in1rg" w:colFirst="0" w:colLast="0"/>
      <w:bookmarkEnd w:id="12"/>
      <w:r w:rsidRPr="006B61EC">
        <w:rPr>
          <w:rFonts w:ascii="Verdana" w:eastAsia="Verdana" w:hAnsi="Verdana" w:cs="Verdana"/>
          <w:sz w:val="22"/>
          <w:szCs w:val="22"/>
        </w:rPr>
        <w:t>ACTIVIDADES DEL PLAN DE CAPACITACIÓN – PIC 2023</w:t>
      </w:r>
    </w:p>
    <w:p w:rsidR="006261D1" w:rsidRPr="006B61EC" w:rsidRDefault="00AC2CEE">
      <w:pPr>
        <w:pStyle w:val="Ttulo1"/>
        <w:numPr>
          <w:ilvl w:val="1"/>
          <w:numId w:val="1"/>
        </w:numPr>
        <w:spacing w:before="0" w:after="240" w:line="240" w:lineRule="auto"/>
        <w:jc w:val="both"/>
        <w:rPr>
          <w:rFonts w:ascii="Verdana" w:eastAsia="Verdana" w:hAnsi="Verdana" w:cs="Verdana"/>
          <w:b w:val="0"/>
          <w:color w:val="000000"/>
          <w:sz w:val="22"/>
          <w:szCs w:val="22"/>
        </w:rPr>
      </w:pPr>
      <w:bookmarkStart w:id="13" w:name="_heading=h.lnxbz9" w:colFirst="0" w:colLast="0"/>
      <w:bookmarkEnd w:id="13"/>
      <w:proofErr w:type="spellStart"/>
      <w:r w:rsidRPr="006B61EC">
        <w:rPr>
          <w:rFonts w:ascii="Verdana" w:eastAsia="Verdana" w:hAnsi="Verdana" w:cs="Verdana"/>
          <w:sz w:val="22"/>
          <w:szCs w:val="22"/>
        </w:rPr>
        <w:t>Inducción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reinducción</w:t>
      </w:r>
      <w:proofErr w:type="spellEnd"/>
    </w:p>
    <w:p w:rsidR="006261D1" w:rsidRPr="006B61EC" w:rsidRDefault="00AC2CEE">
      <w:pPr>
        <w:tabs>
          <w:tab w:val="left" w:pos="7365"/>
        </w:tabs>
        <w:jc w:val="both"/>
        <w:rPr>
          <w:rFonts w:ascii="Verdana" w:eastAsia="Verdana" w:hAnsi="Verdana" w:cs="Verdana"/>
          <w:sz w:val="22"/>
          <w:szCs w:val="22"/>
        </w:rPr>
      </w:pPr>
      <w:bookmarkStart w:id="14" w:name="_heading=h.35nkun2" w:colFirst="0" w:colLast="0"/>
      <w:bookmarkEnd w:id="14"/>
      <w:r w:rsidRPr="006B61EC">
        <w:rPr>
          <w:rFonts w:ascii="Verdana" w:eastAsia="Verdana" w:hAnsi="Verdana" w:cs="Verdana"/>
          <w:sz w:val="22"/>
          <w:szCs w:val="22"/>
        </w:rPr>
        <w:t xml:space="preserve">Se desarrollará de acuerdo al Manual de inducción y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reinducción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MNTH01 del INSOR, de igual manera se dará cumplimiento de los artículos 30 y 31 de la Ley 489 de 1998 en lo referente a la inducción para la alta gerencia del Estado colombiano a través de los</w:t>
      </w:r>
      <w:r w:rsidRPr="006B61EC">
        <w:rPr>
          <w:rFonts w:ascii="Verdana" w:eastAsia="Verdana" w:hAnsi="Verdana" w:cs="Verdana"/>
          <w:sz w:val="22"/>
          <w:szCs w:val="22"/>
        </w:rPr>
        <w:t xml:space="preserve"> cursos dispuestos por la Escuela Superior de Administración Pública (ESAP). </w:t>
      </w:r>
    </w:p>
    <w:p w:rsidR="006261D1" w:rsidRPr="006B61EC" w:rsidRDefault="00AC2CEE">
      <w:pPr>
        <w:tabs>
          <w:tab w:val="left" w:pos="7365"/>
        </w:tabs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 xml:space="preserve">Es importante aclarar que el programa de inducción y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reinducción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se efectúa según el cronograma establecido para el PIC cada vigencia.</w:t>
      </w:r>
    </w:p>
    <w:p w:rsidR="006261D1" w:rsidRPr="006B61EC" w:rsidRDefault="00AC2CEE">
      <w:pPr>
        <w:pStyle w:val="Ttulo1"/>
        <w:numPr>
          <w:ilvl w:val="1"/>
          <w:numId w:val="1"/>
        </w:numPr>
        <w:spacing w:before="0" w:after="240" w:line="240" w:lineRule="auto"/>
        <w:jc w:val="both"/>
        <w:rPr>
          <w:rFonts w:ascii="Verdana" w:eastAsia="Verdana" w:hAnsi="Verdana" w:cs="Verdana"/>
          <w:b w:val="0"/>
          <w:sz w:val="22"/>
          <w:szCs w:val="22"/>
        </w:rPr>
      </w:pPr>
      <w:bookmarkStart w:id="15" w:name="_heading=h.1ksv4uv" w:colFirst="0" w:colLast="0"/>
      <w:bookmarkEnd w:id="15"/>
      <w:proofErr w:type="spellStart"/>
      <w:r w:rsidRPr="006B61EC">
        <w:rPr>
          <w:rFonts w:ascii="Verdana" w:eastAsia="Verdana" w:hAnsi="Verdana" w:cs="Verdana"/>
          <w:sz w:val="22"/>
          <w:szCs w:val="22"/>
        </w:rPr>
        <w:t>Evaluación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desempeño</w:t>
      </w:r>
      <w:proofErr w:type="spellEnd"/>
    </w:p>
    <w:p w:rsidR="006261D1" w:rsidRPr="006B61EC" w:rsidRDefault="00AC2CEE">
      <w:pPr>
        <w:tabs>
          <w:tab w:val="left" w:pos="7365"/>
        </w:tabs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Reforzar conocimien</w:t>
      </w:r>
      <w:r w:rsidRPr="006B61EC">
        <w:rPr>
          <w:rFonts w:ascii="Verdana" w:eastAsia="Verdana" w:hAnsi="Verdana" w:cs="Verdana"/>
          <w:sz w:val="22"/>
          <w:szCs w:val="22"/>
        </w:rPr>
        <w:t xml:space="preserve">tos metodológicos y normativos frente al proceso de evaluación de desempeño con el fin de mejorar la gestión de evaluaciones del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Insor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>.</w:t>
      </w:r>
    </w:p>
    <w:p w:rsidR="006261D1" w:rsidRPr="006B61EC" w:rsidRDefault="006261D1">
      <w:pPr>
        <w:tabs>
          <w:tab w:val="left" w:pos="7365"/>
        </w:tabs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pStyle w:val="Ttulo1"/>
        <w:numPr>
          <w:ilvl w:val="1"/>
          <w:numId w:val="1"/>
        </w:numPr>
        <w:spacing w:before="0" w:after="240" w:line="240" w:lineRule="auto"/>
        <w:jc w:val="both"/>
        <w:rPr>
          <w:rFonts w:ascii="Verdana" w:eastAsia="Verdana" w:hAnsi="Verdana" w:cs="Verdana"/>
          <w:sz w:val="22"/>
          <w:szCs w:val="22"/>
        </w:rPr>
      </w:pPr>
      <w:bookmarkStart w:id="16" w:name="_heading=h.44sinio" w:colFirst="0" w:colLast="0"/>
      <w:bookmarkEnd w:id="16"/>
      <w:proofErr w:type="spellStart"/>
      <w:r w:rsidRPr="006B61EC">
        <w:rPr>
          <w:rFonts w:ascii="Verdana" w:eastAsia="Verdana" w:hAnsi="Verdana" w:cs="Verdana"/>
          <w:sz w:val="22"/>
          <w:szCs w:val="22"/>
        </w:rPr>
        <w:t>Otras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Capacitaciones</w:t>
      </w:r>
      <w:proofErr w:type="spellEnd"/>
    </w:p>
    <w:p w:rsidR="006261D1" w:rsidRPr="006B61EC" w:rsidRDefault="00AC2CEE">
      <w:pPr>
        <w:tabs>
          <w:tab w:val="left" w:pos="7365"/>
        </w:tabs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 xml:space="preserve">Para la definición de los ejes temáticos a desarrollar en este Plan de capacitación </w:t>
      </w:r>
      <w:r w:rsidRPr="006B61EC">
        <w:rPr>
          <w:rFonts w:ascii="Verdana" w:eastAsia="Verdana" w:hAnsi="Verdana" w:cs="Verdana"/>
          <w:sz w:val="22"/>
          <w:szCs w:val="22"/>
        </w:rPr>
        <w:lastRenderedPageBreak/>
        <w:t>institucional,</w:t>
      </w:r>
      <w:r w:rsidRPr="006B61EC">
        <w:rPr>
          <w:rFonts w:ascii="Verdana" w:eastAsia="Verdana" w:hAnsi="Verdana" w:cs="Verdana"/>
          <w:sz w:val="22"/>
          <w:szCs w:val="22"/>
        </w:rPr>
        <w:t xml:space="preserve"> se tendrá en cuenta las necesidades de capacitación que los jefes – Directivos – Asesores y Coordinadores, que determinen en sus colaboradores según los resultados obtenidos en la evaluación de desempeño, así como en la ejecución de los planes y proyectos</w:t>
      </w:r>
      <w:r w:rsidRPr="006B61EC">
        <w:rPr>
          <w:rFonts w:ascii="Verdana" w:eastAsia="Verdana" w:hAnsi="Verdana" w:cs="Verdana"/>
          <w:sz w:val="22"/>
          <w:szCs w:val="22"/>
        </w:rPr>
        <w:t xml:space="preserve"> de la presente vigencia, los cuales se verán reflejados en la Malla Curricular, y la validación y aprobación de la Comisión de Personal. </w:t>
      </w:r>
    </w:p>
    <w:p w:rsidR="006261D1" w:rsidRPr="006B61EC" w:rsidRDefault="00AC2CEE">
      <w:pPr>
        <w:tabs>
          <w:tab w:val="left" w:pos="7365"/>
        </w:tabs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 xml:space="preserve">Los ejes temáticos a considerar serán los que se encuentran anexos en la malla curricular para la vigencia 2023 como </w:t>
      </w:r>
      <w:r w:rsidRPr="006B61EC">
        <w:rPr>
          <w:rFonts w:ascii="Verdana" w:eastAsia="Verdana" w:hAnsi="Verdana" w:cs="Verdana"/>
          <w:sz w:val="22"/>
          <w:szCs w:val="22"/>
        </w:rPr>
        <w:t xml:space="preserve">documento adicional a este plan. 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pStyle w:val="Ttulo1"/>
        <w:numPr>
          <w:ilvl w:val="0"/>
          <w:numId w:val="1"/>
        </w:numPr>
        <w:spacing w:before="0" w:after="240" w:line="240" w:lineRule="auto"/>
        <w:rPr>
          <w:rFonts w:ascii="Verdana" w:eastAsia="Verdana" w:hAnsi="Verdana" w:cs="Verdana"/>
          <w:sz w:val="22"/>
          <w:szCs w:val="22"/>
        </w:rPr>
      </w:pPr>
      <w:bookmarkStart w:id="17" w:name="_heading=h.2jxsxqh" w:colFirst="0" w:colLast="0"/>
      <w:bookmarkEnd w:id="17"/>
      <w:r w:rsidRPr="006B61EC">
        <w:rPr>
          <w:rFonts w:ascii="Verdana" w:eastAsia="Verdana" w:hAnsi="Verdana" w:cs="Verdana"/>
          <w:sz w:val="22"/>
          <w:szCs w:val="22"/>
        </w:rPr>
        <w:t>RED INSTITUCIONAL DE CAPACITACIÓN</w:t>
      </w:r>
    </w:p>
    <w:p w:rsidR="006261D1" w:rsidRPr="006B61EC" w:rsidRDefault="006261D1">
      <w:pPr>
        <w:jc w:val="both"/>
        <w:rPr>
          <w:rFonts w:ascii="Verdana" w:eastAsia="Verdana" w:hAnsi="Verdana" w:cs="Verdana"/>
          <w:b/>
          <w:color w:val="2E75B5"/>
        </w:rPr>
      </w:pPr>
    </w:p>
    <w:p w:rsidR="006261D1" w:rsidRPr="006B61EC" w:rsidRDefault="00AC2CEE">
      <w:pPr>
        <w:jc w:val="both"/>
        <w:rPr>
          <w:rFonts w:ascii="Verdana" w:eastAsia="Verdana" w:hAnsi="Verdana" w:cs="Verdana"/>
        </w:rPr>
      </w:pPr>
      <w:r w:rsidRPr="006B61EC">
        <w:rPr>
          <w:rFonts w:ascii="Verdana" w:eastAsia="Verdana" w:hAnsi="Verdana" w:cs="Verdana"/>
        </w:rPr>
        <w:t>La red institucional de capacitación, es aquella oferta que brindan otras instituciones públicas, como acompañamiento en el marco de formación y capacitación a los servidores y gerentes públicos tales como:</w:t>
      </w:r>
    </w:p>
    <w:p w:rsidR="006261D1" w:rsidRPr="006B61EC" w:rsidRDefault="006261D1">
      <w:pPr>
        <w:jc w:val="both"/>
        <w:rPr>
          <w:rFonts w:ascii="Verdana" w:eastAsia="Verdana" w:hAnsi="Verdana" w:cs="Verdana"/>
        </w:rPr>
      </w:pPr>
    </w:p>
    <w:p w:rsidR="006261D1" w:rsidRPr="006B61EC" w:rsidRDefault="00AC2C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>Departamento Administrativo de la Función Públic</w:t>
      </w:r>
      <w:r w:rsidRPr="006B61EC">
        <w:rPr>
          <w:rFonts w:ascii="Verdana" w:eastAsia="Verdana" w:hAnsi="Verdana" w:cs="Verdana"/>
          <w:color w:val="000000"/>
          <w:sz w:val="22"/>
          <w:szCs w:val="22"/>
        </w:rPr>
        <w:t>a – DAFP</w:t>
      </w:r>
    </w:p>
    <w:p w:rsidR="006261D1" w:rsidRPr="006B61EC" w:rsidRDefault="00AC2C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>Escuela Superior de Administración Publica – ESAP</w:t>
      </w:r>
    </w:p>
    <w:p w:rsidR="006261D1" w:rsidRPr="006B61EC" w:rsidRDefault="00AC2C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 xml:space="preserve">Escuela de Alto Gobierno </w:t>
      </w:r>
    </w:p>
    <w:p w:rsidR="006261D1" w:rsidRPr="006B61EC" w:rsidRDefault="00AC2C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>Ministerio de Hacienda y Crédito Publico</w:t>
      </w:r>
    </w:p>
    <w:p w:rsidR="006261D1" w:rsidRPr="006B61EC" w:rsidRDefault="00AC2C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>Contaduría General de la Nación</w:t>
      </w:r>
    </w:p>
    <w:p w:rsidR="006261D1" w:rsidRPr="006B61EC" w:rsidRDefault="00AC2C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>Servicio Nacional de Aprendizaje – SENA</w:t>
      </w:r>
    </w:p>
    <w:p w:rsidR="006261D1" w:rsidRPr="006B61EC" w:rsidRDefault="00AC2C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>Entre otras</w:t>
      </w:r>
    </w:p>
    <w:p w:rsidR="006261D1" w:rsidRPr="006B61EC" w:rsidRDefault="00AC2CEE">
      <w:pPr>
        <w:jc w:val="both"/>
        <w:rPr>
          <w:rFonts w:ascii="Verdana" w:eastAsia="Verdana" w:hAnsi="Verdana" w:cs="Verdana"/>
        </w:rPr>
      </w:pPr>
      <w:r w:rsidRPr="006B61EC">
        <w:rPr>
          <w:rFonts w:ascii="Verdana" w:eastAsia="Verdana" w:hAnsi="Verdana" w:cs="Verdana"/>
        </w:rPr>
        <w:t>Los programas ofertados por la red están sujet</w:t>
      </w:r>
      <w:r w:rsidRPr="006B61EC">
        <w:rPr>
          <w:rFonts w:ascii="Verdana" w:eastAsia="Verdana" w:hAnsi="Verdana" w:cs="Verdana"/>
        </w:rPr>
        <w:t>os a disponibilidad y cupos asignados por cada entidad.</w:t>
      </w:r>
    </w:p>
    <w:p w:rsidR="006261D1" w:rsidRPr="006B61EC" w:rsidRDefault="006261D1">
      <w:pPr>
        <w:jc w:val="both"/>
        <w:rPr>
          <w:rFonts w:ascii="Verdana" w:eastAsia="Verdana" w:hAnsi="Verdana" w:cs="Verdana"/>
          <w:b/>
          <w:color w:val="2E75B5"/>
        </w:rPr>
      </w:pPr>
    </w:p>
    <w:p w:rsidR="006261D1" w:rsidRPr="006B61EC" w:rsidRDefault="00AC2CEE">
      <w:pPr>
        <w:pStyle w:val="Ttulo1"/>
        <w:numPr>
          <w:ilvl w:val="0"/>
          <w:numId w:val="1"/>
        </w:numPr>
        <w:spacing w:before="0" w:after="240" w:line="240" w:lineRule="auto"/>
        <w:rPr>
          <w:rFonts w:ascii="Verdana" w:eastAsia="Verdana" w:hAnsi="Verdana" w:cs="Verdana"/>
          <w:sz w:val="22"/>
          <w:szCs w:val="22"/>
        </w:rPr>
      </w:pPr>
      <w:bookmarkStart w:id="18" w:name="_heading=h.z337ya" w:colFirst="0" w:colLast="0"/>
      <w:bookmarkEnd w:id="18"/>
      <w:r w:rsidRPr="006B61EC">
        <w:rPr>
          <w:rFonts w:ascii="Verdana" w:eastAsia="Verdana" w:hAnsi="Verdana" w:cs="Verdana"/>
          <w:sz w:val="22"/>
          <w:szCs w:val="22"/>
        </w:rPr>
        <w:t>INDICADORES QUE PERMITIRÁN MEDIR EL PLAN DE CAPACITACIÓN 2023</w:t>
      </w:r>
    </w:p>
    <w:p w:rsidR="006261D1" w:rsidRPr="006B61EC" w:rsidRDefault="006261D1">
      <w:pPr>
        <w:jc w:val="both"/>
        <w:rPr>
          <w:rFonts w:ascii="Verdana" w:eastAsia="Verdana" w:hAnsi="Verdana" w:cs="Verdana"/>
          <w:b/>
          <w:color w:val="5B9BD5"/>
        </w:rPr>
      </w:pPr>
    </w:p>
    <w:p w:rsidR="006261D1" w:rsidRPr="006B61EC" w:rsidRDefault="00AC2CEE">
      <w:pPr>
        <w:pStyle w:val="Ttulo1"/>
        <w:numPr>
          <w:ilvl w:val="1"/>
          <w:numId w:val="1"/>
        </w:numPr>
        <w:spacing w:before="0" w:after="240" w:line="240" w:lineRule="auto"/>
        <w:jc w:val="both"/>
        <w:rPr>
          <w:rFonts w:ascii="Verdana" w:eastAsia="Verdana" w:hAnsi="Verdana" w:cs="Verdana"/>
          <w:sz w:val="22"/>
          <w:szCs w:val="22"/>
        </w:rPr>
      </w:pPr>
      <w:bookmarkStart w:id="19" w:name="_heading=h.3j2qqm3" w:colFirst="0" w:colLast="0"/>
      <w:bookmarkEnd w:id="19"/>
      <w:proofErr w:type="spellStart"/>
      <w:r w:rsidRPr="006B61EC">
        <w:rPr>
          <w:rFonts w:ascii="Verdana" w:eastAsia="Verdana" w:hAnsi="Verdana" w:cs="Verdana"/>
          <w:sz w:val="22"/>
          <w:szCs w:val="22"/>
        </w:rPr>
        <w:t>Nivel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Cumplimiento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Pic</w:t>
      </w: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AC2CEE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spacing w:line="259" w:lineRule="auto"/>
        <w:ind w:left="108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Número</w:t>
      </w:r>
      <w:r w:rsidRPr="006B61EC">
        <w:rPr>
          <w:rFonts w:ascii="Verdana" w:eastAsia="Verdana" w:hAnsi="Verdana" w:cs="Verdana"/>
          <w:color w:val="000000"/>
          <w:sz w:val="22"/>
          <w:szCs w:val="22"/>
        </w:rPr>
        <w:t xml:space="preserve"> de capacitaciones realizadas en el periodo</w:t>
      </w:r>
    </w:p>
    <w:p w:rsidR="006261D1" w:rsidRPr="006B61EC" w:rsidRDefault="00AC2CE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Número</w:t>
      </w:r>
      <w:r w:rsidRPr="006B61EC">
        <w:rPr>
          <w:rFonts w:ascii="Verdana" w:eastAsia="Verdana" w:hAnsi="Verdana" w:cs="Verdana"/>
          <w:color w:val="000000"/>
          <w:sz w:val="22"/>
          <w:szCs w:val="22"/>
        </w:rPr>
        <w:t xml:space="preserve"> de capacitaciones programadas en el periodo</w:t>
      </w:r>
    </w:p>
    <w:p w:rsidR="006261D1" w:rsidRPr="006B61EC" w:rsidRDefault="006261D1">
      <w:pPr>
        <w:jc w:val="both"/>
        <w:rPr>
          <w:rFonts w:ascii="Verdana" w:eastAsia="Verdana" w:hAnsi="Verdana" w:cs="Verdana"/>
          <w:b/>
          <w:color w:val="2E75B5"/>
        </w:rPr>
      </w:pPr>
    </w:p>
    <w:p w:rsidR="006261D1" w:rsidRPr="006B61EC" w:rsidRDefault="00AC2CEE">
      <w:pPr>
        <w:pStyle w:val="Ttulo1"/>
        <w:numPr>
          <w:ilvl w:val="1"/>
          <w:numId w:val="1"/>
        </w:numPr>
        <w:spacing w:before="0" w:after="240" w:line="240" w:lineRule="auto"/>
        <w:jc w:val="both"/>
        <w:rPr>
          <w:rFonts w:ascii="Verdana" w:eastAsia="Verdana" w:hAnsi="Verdana" w:cs="Verdana"/>
          <w:sz w:val="22"/>
          <w:szCs w:val="22"/>
        </w:rPr>
      </w:pPr>
      <w:bookmarkStart w:id="20" w:name="_heading=h.1y810tw" w:colFirst="0" w:colLast="0"/>
      <w:bookmarkEnd w:id="20"/>
      <w:proofErr w:type="spellStart"/>
      <w:r w:rsidRPr="006B61EC">
        <w:rPr>
          <w:rFonts w:ascii="Verdana" w:eastAsia="Verdana" w:hAnsi="Verdana" w:cs="Verdana"/>
          <w:sz w:val="22"/>
          <w:szCs w:val="22"/>
        </w:rPr>
        <w:t>Nivel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cobertura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Pic</w:t>
      </w: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ascii="Verdana" w:eastAsia="Verdana" w:hAnsi="Verdana" w:cs="Verdana"/>
          <w:b/>
          <w:color w:val="2E75B5"/>
          <w:sz w:val="22"/>
          <w:szCs w:val="22"/>
        </w:rPr>
      </w:pPr>
    </w:p>
    <w:p w:rsidR="006261D1" w:rsidRPr="006B61EC" w:rsidRDefault="00AC2CEE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spacing w:line="259" w:lineRule="auto"/>
        <w:ind w:left="108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lastRenderedPageBreak/>
        <w:t>Número</w:t>
      </w:r>
      <w:r w:rsidRPr="006B61EC">
        <w:rPr>
          <w:rFonts w:ascii="Verdana" w:eastAsia="Verdana" w:hAnsi="Verdana" w:cs="Verdana"/>
          <w:color w:val="000000"/>
          <w:sz w:val="22"/>
          <w:szCs w:val="22"/>
        </w:rPr>
        <w:t xml:space="preserve"> de servidores (funcionarios y contratistas) que asistieron a la capacitación</w:t>
      </w:r>
    </w:p>
    <w:p w:rsidR="006261D1" w:rsidRPr="006B61EC" w:rsidRDefault="00AC2CE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Número</w:t>
      </w:r>
      <w:r w:rsidRPr="006B61EC">
        <w:rPr>
          <w:rFonts w:ascii="Verdana" w:eastAsia="Verdana" w:hAnsi="Verdana" w:cs="Verdana"/>
          <w:color w:val="000000"/>
          <w:sz w:val="22"/>
          <w:szCs w:val="22"/>
        </w:rPr>
        <w:t xml:space="preserve"> total de funcionarios y contratistas de personas invitados </w:t>
      </w: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AC2CEE">
      <w:pPr>
        <w:pStyle w:val="Ttulo1"/>
        <w:numPr>
          <w:ilvl w:val="1"/>
          <w:numId w:val="1"/>
        </w:numPr>
        <w:spacing w:before="0" w:after="240" w:line="240" w:lineRule="auto"/>
        <w:jc w:val="both"/>
        <w:rPr>
          <w:rFonts w:ascii="Verdana" w:eastAsia="Verdana" w:hAnsi="Verdana" w:cs="Verdana"/>
          <w:sz w:val="22"/>
          <w:szCs w:val="22"/>
        </w:rPr>
      </w:pPr>
      <w:bookmarkStart w:id="21" w:name="_heading=h.4i7ojhp" w:colFirst="0" w:colLast="0"/>
      <w:bookmarkEnd w:id="21"/>
      <w:proofErr w:type="spellStart"/>
      <w:r w:rsidRPr="006B61EC">
        <w:rPr>
          <w:rFonts w:ascii="Verdana" w:eastAsia="Verdana" w:hAnsi="Verdana" w:cs="Verdana"/>
          <w:sz w:val="22"/>
          <w:szCs w:val="22"/>
        </w:rPr>
        <w:t>Grado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 w:rsidRPr="006B61EC">
        <w:rPr>
          <w:rFonts w:ascii="Verdana" w:eastAsia="Verdana" w:hAnsi="Verdana" w:cs="Verdana"/>
          <w:sz w:val="22"/>
          <w:szCs w:val="22"/>
        </w:rPr>
        <w:t>satisfacción</w:t>
      </w:r>
      <w:proofErr w:type="spellEnd"/>
      <w:r w:rsidRPr="006B61EC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Pr="006B61EC">
        <w:rPr>
          <w:rFonts w:ascii="Verdana" w:eastAsia="Verdana" w:hAnsi="Verdana" w:cs="Verdana"/>
          <w:sz w:val="22"/>
          <w:szCs w:val="22"/>
        </w:rPr>
        <w:t>del</w:t>
      </w:r>
      <w:proofErr w:type="gramEnd"/>
      <w:r w:rsidRPr="006B61EC">
        <w:rPr>
          <w:rFonts w:ascii="Verdana" w:eastAsia="Verdana" w:hAnsi="Verdana" w:cs="Verdana"/>
          <w:sz w:val="22"/>
          <w:szCs w:val="22"/>
        </w:rPr>
        <w:t xml:space="preserve"> Pic</w:t>
      </w:r>
    </w:p>
    <w:p w:rsidR="006261D1" w:rsidRPr="006B61EC" w:rsidRDefault="00AC2CEE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spacing w:line="259" w:lineRule="auto"/>
        <w:ind w:left="108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>Total de encuestas con calificación satisfactoria en cumplimiento del PIC en el periodo</w:t>
      </w:r>
    </w:p>
    <w:p w:rsidR="006261D1" w:rsidRPr="006B61EC" w:rsidRDefault="00AC2CE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>Total, encuestas aplicadas en cumplimiento al PIC en el periodo</w:t>
      </w: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rPr>
          <w:rFonts w:ascii="Verdana" w:eastAsia="Verdana" w:hAnsi="Verdana" w:cs="Verdana"/>
          <w:color w:val="000000"/>
          <w:sz w:val="22"/>
          <w:szCs w:val="22"/>
        </w:rPr>
      </w:pPr>
    </w:p>
    <w:p w:rsidR="006261D1" w:rsidRPr="006B61EC" w:rsidRDefault="00AC2CEE">
      <w:pPr>
        <w:pStyle w:val="Ttulo1"/>
        <w:numPr>
          <w:ilvl w:val="0"/>
          <w:numId w:val="1"/>
        </w:numPr>
        <w:spacing w:before="0" w:after="240" w:line="240" w:lineRule="auto"/>
        <w:rPr>
          <w:rFonts w:ascii="Verdana" w:eastAsia="Verdana" w:hAnsi="Verdana" w:cs="Verdana"/>
          <w:sz w:val="22"/>
          <w:szCs w:val="22"/>
        </w:rPr>
      </w:pPr>
      <w:bookmarkStart w:id="22" w:name="_heading=h.2xcytpi" w:colFirst="0" w:colLast="0"/>
      <w:bookmarkEnd w:id="22"/>
      <w:r w:rsidRPr="006B61EC">
        <w:rPr>
          <w:rFonts w:ascii="Verdana" w:eastAsia="Verdana" w:hAnsi="Verdana" w:cs="Verdana"/>
          <w:sz w:val="22"/>
          <w:szCs w:val="22"/>
        </w:rPr>
        <w:t>CRONOGRAMA DE CAPACITACIONES</w:t>
      </w:r>
    </w:p>
    <w:p w:rsidR="006261D1" w:rsidRPr="006B61EC" w:rsidRDefault="006261D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Verdana" w:eastAsia="Verdana" w:hAnsi="Verdana" w:cs="Verdana"/>
          <w:b/>
          <w:color w:val="2E75B5"/>
          <w:sz w:val="22"/>
          <w:szCs w:val="22"/>
        </w:rPr>
      </w:pPr>
    </w:p>
    <w:p w:rsidR="006261D1" w:rsidRPr="006B61EC" w:rsidRDefault="00AC2CEE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6B61EC">
        <w:rPr>
          <w:rFonts w:ascii="Verdana" w:eastAsia="Verdana" w:hAnsi="Verdana" w:cs="Verdana"/>
          <w:color w:val="000000"/>
          <w:sz w:val="22"/>
          <w:szCs w:val="22"/>
        </w:rPr>
        <w:t>El presente cronograma se encuentra sujeto a cambios de acuerdo a las necesidades presentadas en la ejecución del plan institucional de capacitación PIC 2023</w:t>
      </w:r>
      <w:r w:rsidRPr="006B61EC">
        <w:rPr>
          <w:rFonts w:ascii="Verdana" w:hAnsi="Verdana"/>
          <w:color w:val="000000"/>
        </w:rPr>
        <w:t>.</w:t>
      </w:r>
    </w:p>
    <w:p w:rsidR="006261D1" w:rsidRPr="006B61EC" w:rsidRDefault="006261D1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949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80"/>
        <w:gridCol w:w="467"/>
        <w:gridCol w:w="442"/>
        <w:gridCol w:w="549"/>
        <w:gridCol w:w="486"/>
        <w:gridCol w:w="540"/>
        <w:gridCol w:w="469"/>
        <w:gridCol w:w="422"/>
        <w:gridCol w:w="524"/>
        <w:gridCol w:w="439"/>
        <w:gridCol w:w="481"/>
        <w:gridCol w:w="526"/>
        <w:gridCol w:w="573"/>
      </w:tblGrid>
      <w:tr w:rsidR="006261D1" w:rsidRPr="006B61EC" w:rsidTr="006B61EC">
        <w:trPr>
          <w:trHeight w:val="285"/>
          <w:tblHeader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6B61EC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ENE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FEB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MAR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ABR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MAY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JUN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JUL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AGO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SEP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OCT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NOV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 w:rsidP="006B61EC">
            <w:pPr>
              <w:pStyle w:val="Sinespaciado"/>
              <w:rPr>
                <w:rFonts w:ascii="Verdana" w:eastAsia="Calibri" w:hAnsi="Verdana"/>
                <w:b/>
                <w:sz w:val="14"/>
              </w:rPr>
            </w:pPr>
            <w:r w:rsidRPr="006B61EC">
              <w:rPr>
                <w:rFonts w:ascii="Verdana" w:eastAsia="Calibri" w:hAnsi="Verdana"/>
                <w:b/>
                <w:sz w:val="14"/>
              </w:rPr>
              <w:t>DIC</w:t>
            </w:r>
          </w:p>
        </w:tc>
      </w:tr>
      <w:tr w:rsidR="006261D1" w:rsidRPr="006B61EC" w:rsidTr="006B61EC">
        <w:trPr>
          <w:trHeight w:val="285"/>
          <w:tblHeader/>
        </w:trPr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6B61EC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6261D1" w:rsidRPr="006B61EC" w:rsidRDefault="006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Apropiación y uso de la tecnología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Arquitectura de información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Capacitación Sistema Integrado De Conservación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Cómo gestionar la seguridad y salud en el trabajo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Condiciones y el medio ambiente de un lugar de trabajo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197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Curso De Lengua De Señas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Curso Modelo Integrado de planeación y </w:t>
            </w:r>
            <w:r w:rsidRPr="006B61EC">
              <w:rPr>
                <w:rFonts w:ascii="Verdana" w:eastAsia="Arial" w:hAnsi="Verdana" w:cs="Arial"/>
                <w:sz w:val="18"/>
                <w:szCs w:val="18"/>
              </w:rPr>
              <w:t>gestión</w:t>
            </w: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 MIPG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7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Decreto 1421, aspectos generales y retos para la implementación de la OEBBS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7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Estructura general del sistema educativo en Colombia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Expediente Electrónico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Flexibilidad Y Adaptación Al Cambio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Gerentes Públicos de la Administración Colombiana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lastRenderedPageBreak/>
              <w:t>Gestión Por Resultados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Guía técnica sobre señalización y primeros auxilios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Inducción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Integridad, Transparencia y Lucha contra la Corrupción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Lenguaje Claro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Ley 1010 de 2006 - Acoso Laboral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Liderazgo y trabajo en equipo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Manejo de herramientas de Google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Manejo de herramientas office - Excel, </w:t>
            </w:r>
            <w:proofErr w:type="spellStart"/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Power</w:t>
            </w:r>
            <w:proofErr w:type="spellEnd"/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 Point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Manejo de imagen institucional, presentaciones, comunicados.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Manejo y gestión del tiempo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Mecanismos Para La Medición Del Desempeño Institucional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Medios Magnéticos </w:t>
            </w:r>
            <w:r w:rsidRPr="006B61EC">
              <w:rPr>
                <w:rFonts w:ascii="Verdana" w:eastAsia="Arial" w:hAnsi="Verdana" w:cs="Arial"/>
                <w:sz w:val="18"/>
                <w:szCs w:val="18"/>
              </w:rPr>
              <w:t>Secretaria Distrital de Hacienda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23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Orientación Al Servicio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Procedimiento de Caja Menor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Procedimiento de Comisiones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Procedimiento de Reintegro y traslado de bienes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Qué es y cómo evitar la </w:t>
            </w:r>
            <w:proofErr w:type="spellStart"/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procrastinación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proofErr w:type="spellStart"/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Reinducción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Rendición de cuentas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7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Ruta para la garantía de trayectorias completas, estado actual de las </w:t>
            </w:r>
            <w:r w:rsidRPr="006B61EC">
              <w:rPr>
                <w:rFonts w:ascii="Verdana" w:eastAsia="Arial" w:hAnsi="Verdana" w:cs="Arial"/>
                <w:sz w:val="18"/>
                <w:szCs w:val="18"/>
              </w:rPr>
              <w:t>Secretarías de Educación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Salud mental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211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Seguridad Digital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27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Servicio Al Ciudadano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Socialización de formato cumplimento FOGF27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Taller Proceso de Organización Documental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lastRenderedPageBreak/>
              <w:t>Taller Transferencia Documental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22"/>
                <w:szCs w:val="22"/>
              </w:rPr>
            </w:pPr>
            <w:r w:rsidRPr="006B61EC">
              <w:rPr>
                <w:rFonts w:ascii="Verdana" w:eastAsia="Arial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Técnicas Y Métodos De Redacción De Textos Institucionales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Taller en castellano escrito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Enfoque diferencial en el servicio a la ciudadanía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Manual del usuario de ORFEO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Caracterización de Ciudadanía y grupos de valor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Otros mecanismos de Participación Ciudadana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261D1" w:rsidRPr="006B61EC" w:rsidTr="006B61E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Modelo de Relacionamiento con el Ciudadano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1" w:rsidRPr="006B61EC" w:rsidRDefault="00AC2CEE">
            <w:pPr>
              <w:widowControl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B61EC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261D1" w:rsidRPr="006B61EC" w:rsidRDefault="006261D1">
      <w:pPr>
        <w:rPr>
          <w:rFonts w:ascii="Verdana" w:eastAsia="Verdana" w:hAnsi="Verdana" w:cs="Verdana"/>
          <w:sz w:val="22"/>
          <w:szCs w:val="22"/>
        </w:rPr>
      </w:pPr>
      <w:bookmarkStart w:id="23" w:name="_GoBack"/>
      <w:bookmarkEnd w:id="23"/>
    </w:p>
    <w:p w:rsidR="006261D1" w:rsidRPr="006B61EC" w:rsidRDefault="006261D1">
      <w:pPr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pStyle w:val="Ttulo1"/>
        <w:numPr>
          <w:ilvl w:val="0"/>
          <w:numId w:val="1"/>
        </w:numPr>
        <w:jc w:val="both"/>
        <w:rPr>
          <w:rFonts w:ascii="Verdana" w:eastAsia="Verdana" w:hAnsi="Verdana" w:cs="Verdana"/>
          <w:b w:val="0"/>
          <w:sz w:val="22"/>
          <w:szCs w:val="22"/>
        </w:rPr>
      </w:pPr>
      <w:bookmarkStart w:id="24" w:name="_heading=h.1ci93xb" w:colFirst="0" w:colLast="0"/>
      <w:bookmarkStart w:id="25" w:name="_heading=h.3whwml4" w:colFirst="0" w:colLast="0"/>
      <w:bookmarkEnd w:id="24"/>
      <w:bookmarkEnd w:id="25"/>
      <w:r w:rsidRPr="006B61EC">
        <w:rPr>
          <w:rFonts w:ascii="Verdana" w:eastAsia="Verdana" w:hAnsi="Verdana" w:cs="Verdana"/>
          <w:sz w:val="22"/>
          <w:szCs w:val="22"/>
        </w:rPr>
        <w:t>GLOSARIO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Administración pública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>:</w:t>
      </w:r>
      <w:r w:rsidRPr="006B61EC">
        <w:rPr>
          <w:rFonts w:ascii="Verdana" w:eastAsia="Verdana" w:hAnsi="Verdana" w:cs="Verdana"/>
          <w:sz w:val="22"/>
          <w:szCs w:val="22"/>
        </w:rPr>
        <w:t xml:space="preserve"> Es el medio para lograr los fines del Estado en el que la planificación debe direccionarse a la optimización de los recursos disponibles, en este caso se hace referencia a los impuestos de los ciudadanos, su administración y su distribución equitativa. Ad</w:t>
      </w:r>
      <w:r w:rsidRPr="006B61EC">
        <w:rPr>
          <w:rFonts w:ascii="Verdana" w:eastAsia="Verdana" w:hAnsi="Verdana" w:cs="Verdana"/>
          <w:sz w:val="22"/>
          <w:szCs w:val="22"/>
        </w:rPr>
        <w:t>icionalmente, se adoptan estrategias y modelos que permitan responder a las necesidades de la sociedad de forma eficiente y eficaz (Carvajal, 2015).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Autoridad pública: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>Se reconoce cuando el poder es otorgado por el Estado y la persona se encuentra faculta</w:t>
      </w:r>
      <w:r w:rsidRPr="006B61EC">
        <w:rPr>
          <w:rFonts w:ascii="Verdana" w:eastAsia="Verdana" w:hAnsi="Verdana" w:cs="Verdana"/>
          <w:sz w:val="22"/>
          <w:szCs w:val="22"/>
        </w:rPr>
        <w:t>da por la normativa para decidir en su nombre. Entonces, se identifica como autoridad pública a aquellos servidores públicos con poder de mando, en donde, cada acción emitida por estos tendrá un impacto sobre los gobernados.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Brechas estructurales: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>Son aqu</w:t>
      </w:r>
      <w:r w:rsidRPr="006B61EC">
        <w:rPr>
          <w:rFonts w:ascii="Verdana" w:eastAsia="Verdana" w:hAnsi="Verdana" w:cs="Verdana"/>
          <w:sz w:val="22"/>
          <w:szCs w:val="22"/>
        </w:rPr>
        <w:t>ellos inconvenientes que dificultan el desarrollo económico y la construcción de una sociedad inclusiva. Las brechas estructurales son la línea de base para medir las necesidades e identificar los desafíos que implica a largo plazo. Algunas están relaciona</w:t>
      </w:r>
      <w:r w:rsidRPr="006B61EC">
        <w:rPr>
          <w:rFonts w:ascii="Verdana" w:eastAsia="Verdana" w:hAnsi="Verdana" w:cs="Verdana"/>
          <w:sz w:val="22"/>
          <w:szCs w:val="22"/>
        </w:rPr>
        <w:t>das con la pobreza, la infraestructura, la educación, la desigualdad, el género y el medio ambiente.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Capital humano: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 xml:space="preserve">Es un grupo de personas que promueve el éxito en una organización. </w:t>
      </w:r>
      <w:r w:rsidRPr="006B61EC">
        <w:rPr>
          <w:rFonts w:ascii="Verdana" w:eastAsia="Verdana" w:hAnsi="Verdana" w:cs="Verdana"/>
          <w:sz w:val="22"/>
          <w:szCs w:val="22"/>
        </w:rPr>
        <w:lastRenderedPageBreak/>
        <w:t>En la economía actual es considerado como el mecanismo más importante y</w:t>
      </w:r>
      <w:r w:rsidRPr="006B61EC">
        <w:rPr>
          <w:rFonts w:ascii="Verdana" w:eastAsia="Verdana" w:hAnsi="Verdana" w:cs="Verdana"/>
          <w:sz w:val="22"/>
          <w:szCs w:val="22"/>
        </w:rPr>
        <w:t>a que permite el desarrollo organizacional y se convierte en una ventaja para las instituciones al momento de dar respuesta a las demandas y fenómenos del entorno. Así mismo, se estima que hace parte integral de la riqueza de las naciones pues son la princ</w:t>
      </w:r>
      <w:r w:rsidRPr="006B61EC">
        <w:rPr>
          <w:rFonts w:ascii="Verdana" w:eastAsia="Verdana" w:hAnsi="Verdana" w:cs="Verdana"/>
          <w:sz w:val="22"/>
          <w:szCs w:val="22"/>
        </w:rPr>
        <w:t>ipal fuente de ingreso. En el capital humano se tienen en cuenta aspectos formativos, experiencia, cultura y entorno al ser el contexto con el que interactúa la unidad social. De igual forma es un elemento intangible que pone en marcha la planeación, innov</w:t>
      </w:r>
      <w:r w:rsidRPr="006B61EC">
        <w:rPr>
          <w:rFonts w:ascii="Verdana" w:eastAsia="Verdana" w:hAnsi="Verdana" w:cs="Verdana"/>
          <w:sz w:val="22"/>
          <w:szCs w:val="22"/>
        </w:rPr>
        <w:t>ación y productividad de una entidad.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 xml:space="preserve">Capacitación: </w:t>
      </w:r>
      <w:r w:rsidRPr="006B61EC">
        <w:rPr>
          <w:rFonts w:ascii="Verdana" w:eastAsia="Verdana" w:hAnsi="Verdana" w:cs="Verdana"/>
          <w:sz w:val="22"/>
          <w:szCs w:val="22"/>
        </w:rPr>
        <w:t>“Se entiende por capacitación el conjunto de procesos organizados, relativos tanto a la educación no formal como a la informal de acuerdo con lo establecido por la ley general de educación, dirigidos a p</w:t>
      </w:r>
      <w:r w:rsidRPr="006B61EC">
        <w:rPr>
          <w:rFonts w:ascii="Verdana" w:eastAsia="Verdana" w:hAnsi="Verdana" w:cs="Verdana"/>
          <w:sz w:val="22"/>
          <w:szCs w:val="22"/>
        </w:rPr>
        <w:t>rolongar y a complementar la educación inicial mediante la generación de conocimientos, el desarrollo de habilidades y el cambio de actitudes, con el fin de incrementar la capacidad individual y colectiva para contribuir al cumplimiento de la misión instit</w:t>
      </w:r>
      <w:r w:rsidRPr="006B61EC">
        <w:rPr>
          <w:rFonts w:ascii="Verdana" w:eastAsia="Verdana" w:hAnsi="Verdana" w:cs="Verdana"/>
          <w:sz w:val="22"/>
          <w:szCs w:val="22"/>
        </w:rPr>
        <w:t>ucional, a la mejor prestación de servicios a la comunidad, al eficaz desempeño del cargo y al desarrollo personal integral. Esta definición comprende los procesos de formación, entendidos como aquellos que tienen por objeto específico desarrollar y fortal</w:t>
      </w:r>
      <w:r w:rsidRPr="006B61EC">
        <w:rPr>
          <w:rFonts w:ascii="Verdana" w:eastAsia="Verdana" w:hAnsi="Verdana" w:cs="Verdana"/>
          <w:sz w:val="22"/>
          <w:szCs w:val="22"/>
        </w:rPr>
        <w:t>ecer una ética del servicio público basada en los principios que rigen la función administrativa.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Carrera administrativa: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>Organización y diseño de los diferentes empleos existentes en una entidad pública, caracterizados por darse de forma jerarquizada. Lo</w:t>
      </w:r>
      <w:r w:rsidRPr="006B61EC">
        <w:rPr>
          <w:rFonts w:ascii="Verdana" w:eastAsia="Verdana" w:hAnsi="Verdana" w:cs="Verdana"/>
          <w:sz w:val="22"/>
          <w:szCs w:val="22"/>
        </w:rPr>
        <w:t>s sistemas de carrera evocan la existencia de algunos cargos considerados de acceso (reclutamiento externo) y otros que son de niveles superiores, determinados a través de promoción interna.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color w:val="2E75B5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Competencias laborales: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>Las competencias es el conjunto de los c</w:t>
      </w:r>
      <w:r w:rsidRPr="006B61EC">
        <w:rPr>
          <w:rFonts w:ascii="Verdana" w:eastAsia="Verdana" w:hAnsi="Verdana" w:cs="Verdana"/>
          <w:sz w:val="22"/>
          <w:szCs w:val="22"/>
        </w:rPr>
        <w:t>onocimientos, cualidades, capacidades, y aptitudes que permiten discutir, consultar y decidir sobre lo que concierne al trabajo.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Educación formal: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>Se imparte en establecimientos educativos acreditados, en los que la dinámica se organiza por medio de ciclo</w:t>
      </w:r>
      <w:r w:rsidRPr="006B61EC">
        <w:rPr>
          <w:rFonts w:ascii="Verdana" w:eastAsia="Verdana" w:hAnsi="Verdana" w:cs="Verdana"/>
          <w:sz w:val="22"/>
          <w:szCs w:val="22"/>
        </w:rPr>
        <w:t>s con pausas progresivas y se clasifica en preescolar, básica y media. Adicionalmente, se caracteriza por la obtención de títulos y acceso a grados superiores. Este tipo de educación le permite al individuo desarrollar habilidades, aptitudes y conocimiento</w:t>
      </w:r>
      <w:r w:rsidRPr="006B61EC">
        <w:rPr>
          <w:rFonts w:ascii="Verdana" w:eastAsia="Verdana" w:hAnsi="Verdana" w:cs="Verdana"/>
          <w:sz w:val="22"/>
          <w:szCs w:val="22"/>
        </w:rPr>
        <w:t>s.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Educación para el trabajo y el desarrollo humano: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 xml:space="preserve">La educación para el trabajo y el desarrollo humano, es la que se ofrece con el objeto de complementar, actualizar, </w:t>
      </w:r>
      <w:r w:rsidRPr="006B61EC">
        <w:rPr>
          <w:rFonts w:ascii="Verdana" w:eastAsia="Verdana" w:hAnsi="Verdana" w:cs="Verdana"/>
          <w:sz w:val="22"/>
          <w:szCs w:val="22"/>
        </w:rPr>
        <w:lastRenderedPageBreak/>
        <w:t>suplir conocimientos y formar, en aspectos académicos o laborales diferente al sistema</w:t>
      </w:r>
      <w:r w:rsidRPr="006B61EC">
        <w:rPr>
          <w:rFonts w:ascii="Verdana" w:eastAsia="Verdana" w:hAnsi="Verdana" w:cs="Verdana"/>
          <w:sz w:val="22"/>
          <w:szCs w:val="22"/>
        </w:rPr>
        <w:t xml:space="preserve"> de niveles y grados establecidos por la Ley General de Educación. 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Educación informal: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>La educación informal, es todo conocimiento libre y espontáneamente adquirido, proveniente de personas, entidades, medios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 w:rsidRPr="006B61EC">
        <w:rPr>
          <w:rFonts w:ascii="Verdana" w:eastAsia="Verdana" w:hAnsi="Verdana" w:cs="Verdana"/>
          <w:sz w:val="22"/>
          <w:szCs w:val="22"/>
        </w:rPr>
        <w:t>masivos</w:t>
      </w:r>
      <w:proofErr w:type="gramEnd"/>
      <w:r w:rsidRPr="006B61EC">
        <w:rPr>
          <w:rFonts w:ascii="Verdana" w:eastAsia="Verdana" w:hAnsi="Verdana" w:cs="Verdana"/>
          <w:sz w:val="22"/>
          <w:szCs w:val="22"/>
        </w:rPr>
        <w:t xml:space="preserve"> de comunicación, medios impresos, tr</w:t>
      </w:r>
      <w:r w:rsidRPr="006B61EC">
        <w:rPr>
          <w:rFonts w:ascii="Verdana" w:eastAsia="Verdana" w:hAnsi="Verdana" w:cs="Verdana"/>
          <w:sz w:val="22"/>
          <w:szCs w:val="22"/>
        </w:rPr>
        <w:t xml:space="preserve">adiciones, costumbres, comportamientos sociales y otros no estructurados.  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Empleo público: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>Se considera como la estructura y la base de la Función Pública. Así mismo, es un conjunto de funciones, responsabilidades y demandas detalladas en la Constitución</w:t>
      </w:r>
      <w:r w:rsidRPr="006B61EC">
        <w:rPr>
          <w:rFonts w:ascii="Verdana" w:eastAsia="Verdana" w:hAnsi="Verdana" w:cs="Verdana"/>
          <w:sz w:val="22"/>
          <w:szCs w:val="22"/>
        </w:rPr>
        <w:t xml:space="preserve"> Política que le son designadas a un individuo con el fin de contribuir al alcance de los objetivos del Estado, para lo cual se requiere de una serie de competencias que contribuyen a la consecución de metas y propósitos.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Formación: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>En los términos de est</w:t>
      </w:r>
      <w:r w:rsidRPr="006B61EC">
        <w:rPr>
          <w:rFonts w:ascii="Verdana" w:eastAsia="Verdana" w:hAnsi="Verdana" w:cs="Verdana"/>
          <w:sz w:val="22"/>
          <w:szCs w:val="22"/>
        </w:rPr>
        <w:t>e Plan, se entiende la formación como el proceso encaminado a facilitar el desarrollo integral del ser humano, potenciando actitudes, habilidades y conductas, en sus dimensiones: ética, creativa, comunicativa, crítica, sensorial, emocional e intelectual.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Grupos de interés: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>Individuos u organismos específicos en cuyo beneficio se lleva a cabo la intervención para el desarrollo. (OCDE, 2014). No se limita a los usuarios, gremios o proveedores, incluye necesariamente la identificación de grupos de interés del</w:t>
      </w:r>
      <w:r w:rsidRPr="006B61EC">
        <w:rPr>
          <w:rFonts w:ascii="Verdana" w:eastAsia="Verdana" w:hAnsi="Verdana" w:cs="Verdana"/>
          <w:sz w:val="22"/>
          <w:szCs w:val="22"/>
        </w:rPr>
        <w:t xml:space="preserve"> entorno, tales como comunidad, gobierno, medio ambiente, entre otros.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Metodología pedagógica: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>Es un acuerdo social que pretende establecer coherencia entre el nivel de conocimiento del individuo y los lineamientos de adquisición del aprendizaje, en este sentido se implementan distintas estrategias que favorezcan el aprendizaje de los sujetos al mom</w:t>
      </w:r>
      <w:r w:rsidRPr="006B61EC">
        <w:rPr>
          <w:rFonts w:ascii="Verdana" w:eastAsia="Verdana" w:hAnsi="Verdana" w:cs="Verdana"/>
          <w:sz w:val="22"/>
          <w:szCs w:val="22"/>
        </w:rPr>
        <w:t xml:space="preserve">ento de transmitir el conocimiento. 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color w:val="2E75B5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Políticas públicas: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>Se conciben como las acciones, decisiones e instrumentos que funcionan de forma integral al momento de dar una posible solución a problemas relevantes en la comunidad. De acuerdo con esto, son accio</w:t>
      </w:r>
      <w:r w:rsidRPr="006B61EC">
        <w:rPr>
          <w:rFonts w:ascii="Verdana" w:eastAsia="Verdana" w:hAnsi="Verdana" w:cs="Verdana"/>
          <w:sz w:val="22"/>
          <w:szCs w:val="22"/>
        </w:rPr>
        <w:t>nes específicas para alcanzar objetivos específicos. En la formulación de políticas públicas participan el Estado, actores gubernamentales y a su vez entidades privadas, las cuales a través de la interacción, negociación y cooperación de individuos, grupos</w:t>
      </w:r>
      <w:r w:rsidRPr="006B61EC">
        <w:rPr>
          <w:rFonts w:ascii="Verdana" w:eastAsia="Verdana" w:hAnsi="Verdana" w:cs="Verdana"/>
          <w:sz w:val="22"/>
          <w:szCs w:val="22"/>
        </w:rPr>
        <w:t xml:space="preserve"> e instituciones permite enlazar los intereses a las decisiones para que puedan ser ejecutadas en el territorio y responder a las dificultades identificadas. Por otro lado, al establecer una política lo que </w:t>
      </w:r>
      <w:r w:rsidRPr="006B61EC">
        <w:rPr>
          <w:rFonts w:ascii="Verdana" w:eastAsia="Verdana" w:hAnsi="Verdana" w:cs="Verdana"/>
          <w:sz w:val="22"/>
          <w:szCs w:val="22"/>
        </w:rPr>
        <w:lastRenderedPageBreak/>
        <w:t>se espera es modificar y determinar el comportami</w:t>
      </w:r>
      <w:r w:rsidRPr="006B61EC">
        <w:rPr>
          <w:rFonts w:ascii="Verdana" w:eastAsia="Verdana" w:hAnsi="Verdana" w:cs="Verdana"/>
          <w:sz w:val="22"/>
          <w:szCs w:val="22"/>
        </w:rPr>
        <w:t>ento social.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 xml:space="preserve">Servidor público: </w:t>
      </w:r>
      <w:r w:rsidRPr="006B61EC">
        <w:rPr>
          <w:rFonts w:ascii="Verdana" w:eastAsia="Verdana" w:hAnsi="Verdana" w:cs="Verdana"/>
          <w:sz w:val="22"/>
          <w:szCs w:val="22"/>
        </w:rPr>
        <w:t>Toda persona natural que presta sus servicios como miembro de corporaciones públicas, empleados o trabajadores del Estado y de sus entidades descentralizadas territorialmente y por servicios. Sus funciones y responsabilidade</w:t>
      </w:r>
      <w:r w:rsidRPr="006B61EC">
        <w:rPr>
          <w:rFonts w:ascii="Verdana" w:eastAsia="Verdana" w:hAnsi="Verdana" w:cs="Verdana"/>
          <w:sz w:val="22"/>
          <w:szCs w:val="22"/>
        </w:rPr>
        <w:t xml:space="preserve">s están determinadas por la Constitución, las leyes y normas que rigen al país 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Sistema Nacional de Capacitación: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 xml:space="preserve">De acuerdo con el Decreto Ley 1567 de 1998, se entiende como “el conjunto coherente de políticas, planes, disposiciones legales, organismos, </w:t>
      </w:r>
      <w:r w:rsidRPr="006B61EC">
        <w:rPr>
          <w:rFonts w:ascii="Verdana" w:eastAsia="Verdana" w:hAnsi="Verdana" w:cs="Verdana"/>
          <w:sz w:val="22"/>
          <w:szCs w:val="22"/>
        </w:rPr>
        <w:t>escuelas de capacitación, dependencias y recursos organizados con el propósito común de generar en las entidades y en los empleados del Estado una mayor capacidad de aprendizaje y de acción, en función de lograr la eficiencia y la eficacia de la administra</w:t>
      </w:r>
      <w:r w:rsidRPr="006B61EC">
        <w:rPr>
          <w:rFonts w:ascii="Verdana" w:eastAsia="Verdana" w:hAnsi="Verdana" w:cs="Verdana"/>
          <w:sz w:val="22"/>
          <w:szCs w:val="22"/>
        </w:rPr>
        <w:t xml:space="preserve">ción, actuando para ello de manera coordinada y con unidad de criterios.” 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b/>
          <w:color w:val="2E75B5"/>
          <w:sz w:val="22"/>
          <w:szCs w:val="22"/>
        </w:rPr>
        <w:t>Valor público:</w:t>
      </w:r>
      <w:r w:rsidRPr="006B61EC">
        <w:rPr>
          <w:rFonts w:ascii="Verdana" w:eastAsia="Verdana" w:hAnsi="Verdana" w:cs="Verdana"/>
          <w:color w:val="2E75B5"/>
          <w:sz w:val="22"/>
          <w:szCs w:val="22"/>
        </w:rPr>
        <w:t xml:space="preserve"> </w:t>
      </w:r>
      <w:r w:rsidRPr="006B61EC">
        <w:rPr>
          <w:rFonts w:ascii="Verdana" w:eastAsia="Verdana" w:hAnsi="Verdana" w:cs="Verdana"/>
          <w:sz w:val="22"/>
          <w:szCs w:val="22"/>
        </w:rPr>
        <w:t xml:space="preserve">Es la estrategia mediante la cual el Estado produce bienes y servicios teniendo en cuenta la participación de los ciudadanos, ya que a partir de esta interacción se </w:t>
      </w:r>
      <w:r w:rsidRPr="006B61EC">
        <w:rPr>
          <w:rFonts w:ascii="Verdana" w:eastAsia="Verdana" w:hAnsi="Verdana" w:cs="Verdana"/>
          <w:sz w:val="22"/>
          <w:szCs w:val="22"/>
        </w:rPr>
        <w:t>identifican las necesidades sociales y se reconoce a cada uno de los miembros de la comunidad como sujetos de derecho. Prestar un servicio implica hacerlo de forma eficiente, eficaz y efectiva pues se tiene en cuenta las demandas y expectativas de la ciuda</w:t>
      </w:r>
      <w:r w:rsidRPr="006B61EC">
        <w:rPr>
          <w:rFonts w:ascii="Verdana" w:eastAsia="Verdana" w:hAnsi="Verdana" w:cs="Verdana"/>
          <w:sz w:val="22"/>
          <w:szCs w:val="22"/>
        </w:rPr>
        <w:t>danía.</w:t>
      </w: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pStyle w:val="Ttulo1"/>
        <w:jc w:val="center"/>
        <w:rPr>
          <w:rFonts w:ascii="Verdana" w:eastAsia="Verdana" w:hAnsi="Verdana" w:cs="Verdana"/>
          <w:sz w:val="22"/>
          <w:szCs w:val="22"/>
        </w:rPr>
      </w:pPr>
      <w:bookmarkStart w:id="26" w:name="_heading=h.2bn6wsx" w:colFirst="0" w:colLast="0"/>
      <w:bookmarkEnd w:id="26"/>
      <w:r w:rsidRPr="006B61EC">
        <w:rPr>
          <w:rFonts w:ascii="Verdana" w:eastAsia="Verdana" w:hAnsi="Verdana" w:cs="Verdana"/>
          <w:sz w:val="22"/>
          <w:szCs w:val="22"/>
        </w:rPr>
        <w:t>BIBLIOGRAFIA</w:t>
      </w:r>
    </w:p>
    <w:p w:rsidR="006261D1" w:rsidRPr="006B61EC" w:rsidRDefault="006261D1">
      <w:pPr>
        <w:rPr>
          <w:rFonts w:ascii="Verdana" w:hAnsi="Verdana"/>
        </w:rPr>
      </w:pPr>
    </w:p>
    <w:p w:rsidR="006261D1" w:rsidRPr="006B61EC" w:rsidRDefault="006261D1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261D1" w:rsidRPr="006B61EC" w:rsidRDefault="00AC2CEE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6B61EC">
        <w:rPr>
          <w:rFonts w:ascii="Verdana" w:eastAsia="Verdana" w:hAnsi="Verdana" w:cs="Verdana"/>
          <w:sz w:val="22"/>
          <w:szCs w:val="22"/>
        </w:rPr>
        <w:t>La fuente principal de la construcción de este documento es el Plan Nacional de Formación y Capacitación 2020-2030 – DAFP – 2020</w:t>
      </w:r>
    </w:p>
    <w:p w:rsidR="006261D1" w:rsidRPr="006B61EC" w:rsidRDefault="006261D1">
      <w:pPr>
        <w:rPr>
          <w:rFonts w:ascii="Verdana" w:eastAsia="Verdana" w:hAnsi="Verdana" w:cs="Verdana"/>
        </w:rPr>
      </w:pPr>
    </w:p>
    <w:sectPr w:rsidR="006261D1" w:rsidRPr="006B61EC" w:rsidSect="006B61EC">
      <w:headerReference w:type="default" r:id="rId14"/>
      <w:footerReference w:type="default" r:id="rId15"/>
      <w:pgSz w:w="12240" w:h="15840"/>
      <w:pgMar w:top="0" w:right="1185" w:bottom="1230" w:left="1418" w:header="1701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EE" w:rsidRDefault="00AC2CEE">
      <w:r>
        <w:separator/>
      </w:r>
    </w:p>
  </w:endnote>
  <w:endnote w:type="continuationSeparator" w:id="0">
    <w:p w:rsidR="00AC2CEE" w:rsidRDefault="00A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Noto Sans CJK SC DemiLight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D1" w:rsidRDefault="006261D1">
    <w:pPr>
      <w:widowControl/>
      <w:pBdr>
        <w:top w:val="nil"/>
        <w:left w:val="nil"/>
        <w:bottom w:val="nil"/>
        <w:right w:val="nil"/>
        <w:between w:val="nil"/>
      </w:pBdr>
      <w:ind w:left="-85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EE" w:rsidRDefault="00AC2CEE">
      <w:r>
        <w:separator/>
      </w:r>
    </w:p>
  </w:footnote>
  <w:footnote w:type="continuationSeparator" w:id="0">
    <w:p w:rsidR="00AC2CEE" w:rsidRDefault="00AC2CEE">
      <w:r>
        <w:continuationSeparator/>
      </w:r>
    </w:p>
  </w:footnote>
  <w:footnote w:id="1">
    <w:p w:rsidR="006261D1" w:rsidRDefault="00AC2CEE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Benjamin</w:t>
      </w:r>
      <w:proofErr w:type="spellEnd"/>
      <w:r>
        <w:rPr>
          <w:sz w:val="20"/>
          <w:szCs w:val="20"/>
        </w:rPr>
        <w:t xml:space="preserve"> Bloom, nació en </w:t>
      </w:r>
      <w:proofErr w:type="spellStart"/>
      <w:r>
        <w:rPr>
          <w:sz w:val="20"/>
          <w:szCs w:val="20"/>
        </w:rPr>
        <w:t>Lansford</w:t>
      </w:r>
      <w:proofErr w:type="spellEnd"/>
      <w:r>
        <w:rPr>
          <w:sz w:val="20"/>
          <w:szCs w:val="20"/>
        </w:rPr>
        <w:t xml:space="preserve">, Pensilvania, el 21 de febrero de 1913. </w:t>
      </w:r>
      <w:proofErr w:type="spellStart"/>
      <w:r>
        <w:rPr>
          <w:sz w:val="20"/>
          <w:szCs w:val="20"/>
        </w:rPr>
        <w:t>Fué</w:t>
      </w:r>
      <w:proofErr w:type="spellEnd"/>
      <w:r>
        <w:rPr>
          <w:sz w:val="20"/>
          <w:szCs w:val="20"/>
        </w:rPr>
        <w:t xml:space="preserve"> un influyente psicólogo y pedagogo estadounidense que hizo contribuciones significativas a la taxonomía de objetivos de la educación. Otras contribuciones suyas estuvieron rela</w:t>
      </w:r>
      <w:r>
        <w:rPr>
          <w:sz w:val="20"/>
          <w:szCs w:val="20"/>
        </w:rPr>
        <w:t>cionadas con el campo del aprendizaje y el desarrollo cognitivo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D1" w:rsidRDefault="006B61E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0"/>
        <w:tab w:val="left" w:pos="738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3466BFD4" wp14:editId="64D9FAF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04150" cy="9358630"/>
          <wp:effectExtent l="0" t="0" r="6350" b="0"/>
          <wp:wrapNone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38" t="9622"/>
                  <a:stretch>
                    <a:fillRect/>
                  </a:stretch>
                </pic:blipFill>
                <pic:spPr>
                  <a:xfrm>
                    <a:off x="0" y="0"/>
                    <a:ext cx="7804150" cy="9358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2CEE">
      <w:rPr>
        <w:noProof/>
      </w:rPr>
      <w:drawing>
        <wp:anchor distT="0" distB="0" distL="0" distR="0" simplePos="0" relativeHeight="251658240" behindDoc="1" locked="0" layoutInCell="1" hidden="0" allowOverlap="1" wp14:anchorId="535AD56C" wp14:editId="5EBA83FF">
          <wp:simplePos x="0" y="0"/>
          <wp:positionH relativeFrom="column">
            <wp:posOffset>-900429</wp:posOffset>
          </wp:positionH>
          <wp:positionV relativeFrom="paragraph">
            <wp:posOffset>7525</wp:posOffset>
          </wp:positionV>
          <wp:extent cx="2719137" cy="607413"/>
          <wp:effectExtent l="0" t="0" r="0" b="0"/>
          <wp:wrapNone/>
          <wp:docPr id="5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9137" cy="607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61D1" w:rsidRPr="006B61EC" w:rsidRDefault="00AC2CEE" w:rsidP="006B61E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024"/>
        <w:tab w:val="left" w:pos="4395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 w:rsidR="006B61EC"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6B61EC">
      <w:rPr>
        <w:rFonts w:ascii="Verdana" w:eastAsia="Verdana" w:hAnsi="Verdana" w:cs="Verdana"/>
        <w:b/>
        <w:noProof/>
        <w:color w:val="000000"/>
        <w:sz w:val="16"/>
        <w:szCs w:val="16"/>
      </w:rPr>
      <w:t>17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 w:rsidR="006B61EC"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6B61EC">
      <w:rPr>
        <w:rFonts w:ascii="Verdana" w:eastAsia="Verdana" w:hAnsi="Verdana" w:cs="Verdana"/>
        <w:b/>
        <w:noProof/>
        <w:color w:val="000000"/>
        <w:sz w:val="16"/>
        <w:szCs w:val="16"/>
      </w:rPr>
      <w:t>17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28"/>
        <w:szCs w:val="28"/>
      </w:rPr>
      <w:t xml:space="preserve">                                 </w:t>
    </w:r>
  </w:p>
  <w:p w:rsidR="006261D1" w:rsidRDefault="006261D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4472C4"/>
        <w:sz w:val="22"/>
        <w:szCs w:val="22"/>
      </w:rPr>
    </w:pPr>
  </w:p>
  <w:p w:rsidR="006261D1" w:rsidRDefault="006261D1">
    <w:pPr>
      <w:widowControl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66"/>
    <w:multiLevelType w:val="multilevel"/>
    <w:tmpl w:val="8AD0DA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510228"/>
    <w:multiLevelType w:val="multilevel"/>
    <w:tmpl w:val="DBC6FBBC"/>
    <w:lvl w:ilvl="0">
      <w:start w:val="1"/>
      <w:numFmt w:val="decimal"/>
      <w:lvlText w:val="%1."/>
      <w:lvlJc w:val="left"/>
      <w:pPr>
        <w:ind w:left="1080" w:hanging="720"/>
      </w:pPr>
      <w:rPr>
        <w:b/>
        <w:color w:val="2F5496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  <w:color w:val="2E75B5"/>
      </w:rPr>
    </w:lvl>
    <w:lvl w:ilvl="2">
      <w:start w:val="1"/>
      <w:numFmt w:val="decimal"/>
      <w:lvlText w:val="%1.%2.%3"/>
      <w:lvlJc w:val="left"/>
      <w:pPr>
        <w:ind w:left="1440" w:hanging="108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2160" w:hanging="1800"/>
      </w:pPr>
    </w:lvl>
    <w:lvl w:ilvl="6">
      <w:start w:val="1"/>
      <w:numFmt w:val="decimal"/>
      <w:lvlText w:val="%1.%2.%3.%4.%5.%6.%7"/>
      <w:lvlJc w:val="left"/>
      <w:pPr>
        <w:ind w:left="2520" w:hanging="2160"/>
      </w:pPr>
    </w:lvl>
    <w:lvl w:ilvl="7">
      <w:start w:val="1"/>
      <w:numFmt w:val="decimal"/>
      <w:lvlText w:val="%1.%2.%3.%4.%5.%6.%7.%8"/>
      <w:lvlJc w:val="left"/>
      <w:pPr>
        <w:ind w:left="2880" w:hanging="252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abstractNum w:abstractNumId="2">
    <w:nsid w:val="106B7F47"/>
    <w:multiLevelType w:val="multilevel"/>
    <w:tmpl w:val="3BC45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D1"/>
    <w:rsid w:val="006261D1"/>
    <w:rsid w:val="006B61EC"/>
    <w:rsid w:val="00A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F4B41-B4A1-480E-A55D-9B157621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9"/>
    <w:qFormat/>
    <w:rsid w:val="00D5062E"/>
    <w:pPr>
      <w:keepNext/>
      <w:keepLines/>
      <w:widowControl/>
      <w:suppressAutoHyphens w:val="0"/>
      <w:spacing w:before="480" w:line="276" w:lineRule="auto"/>
      <w:outlineLvl w:val="0"/>
    </w:pPr>
    <w:rPr>
      <w:rFonts w:ascii="Century Gothic" w:hAnsi="Century Gothic"/>
      <w:b/>
      <w:bCs/>
      <w:color w:val="2E74B5" w:themeColor="accent1" w:themeShade="BF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62E"/>
    <w:pPr>
      <w:keepNext/>
      <w:keepLines/>
      <w:widowControl/>
      <w:suppressAutoHyphens w:val="0"/>
      <w:spacing w:before="200" w:line="276" w:lineRule="auto"/>
      <w:outlineLvl w:val="1"/>
    </w:pPr>
    <w:rPr>
      <w:rFonts w:ascii="Century Gothic" w:hAnsi="Century Gothic"/>
      <w:b/>
      <w:bCs/>
      <w:color w:val="2E74B5" w:themeColor="accent1" w:themeShade="BF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62E"/>
    <w:pPr>
      <w:keepNext/>
      <w:keepLines/>
      <w:widowControl/>
      <w:suppressAutoHyphens w:val="0"/>
      <w:spacing w:before="200" w:line="276" w:lineRule="auto"/>
      <w:outlineLvl w:val="2"/>
    </w:pPr>
    <w:rPr>
      <w:rFonts w:ascii="Century Gothic" w:hAnsi="Century Gothic"/>
      <w:b/>
      <w:bCs/>
      <w:color w:val="93A299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widowControl/>
      <w:suppressAutoHyphens/>
    </w:pPr>
    <w:rPr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a1">
    <w:name w:val="Lista1"/>
    <w:basedOn w:val="Textbody"/>
    <w:rPr>
      <w:rFonts w:cs="Noto Sans Devanagari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customStyle="1" w:styleId="Ttulo41">
    <w:name w:val="Título 41"/>
    <w:basedOn w:val="Standard"/>
    <w:next w:val="Standard"/>
    <w:pPr>
      <w:keepNext/>
      <w:widowControl w:val="0"/>
      <w:outlineLvl w:val="3"/>
    </w:pPr>
    <w:rPr>
      <w:rFonts w:ascii="Verdana" w:eastAsia="Verdana" w:hAnsi="Verdana" w:cs="Verdana"/>
      <w:b/>
      <w:bCs/>
      <w:kern w:val="3"/>
      <w:sz w:val="22"/>
      <w:szCs w:val="20"/>
    </w:rPr>
  </w:style>
  <w:style w:type="paragraph" w:customStyle="1" w:styleId="Encabezado1">
    <w:name w:val="Encabezado1"/>
    <w:basedOn w:val="Standard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Standard"/>
    <w:rPr>
      <w:rFonts w:ascii="Tahoma" w:eastAsia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jc w:val="both"/>
    </w:pPr>
    <w:rPr>
      <w:rFonts w:ascii="Arial" w:eastAsia="Arial" w:hAnsi="Arial" w:cs="Arial"/>
      <w:lang w:eastAsia="ar-SA"/>
    </w:rPr>
  </w:style>
  <w:style w:type="paragraph" w:customStyle="1" w:styleId="Textoindependiente1">
    <w:name w:val="Texto independiente1"/>
    <w:basedOn w:val="Standard"/>
    <w:pPr>
      <w:spacing w:after="120"/>
    </w:pPr>
  </w:style>
  <w:style w:type="paragraph" w:customStyle="1" w:styleId="ececmsonormal">
    <w:name w:val="ec_ecmsonormal"/>
    <w:basedOn w:val="Standard"/>
    <w:pPr>
      <w:spacing w:before="100" w:after="100"/>
    </w:pPr>
    <w:rPr>
      <w:lang w:val="es-ES"/>
    </w:rPr>
  </w:style>
  <w:style w:type="paragraph" w:styleId="NormalWeb">
    <w:name w:val="Normal (Web)"/>
    <w:basedOn w:val="Standard"/>
    <w:uiPriority w:val="99"/>
    <w:pPr>
      <w:spacing w:before="100" w:after="100"/>
    </w:pPr>
    <w:rPr>
      <w:rFonts w:eastAsia="MS Mincho"/>
      <w:lang w:eastAsia="es-CO"/>
    </w:rPr>
  </w:style>
  <w:style w:type="paragraph" w:customStyle="1" w:styleId="Prrafodelista1">
    <w:name w:val="Párrafo de lista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onotapie1">
    <w:name w:val="Texto nota pie1"/>
    <w:basedOn w:val="Standard"/>
    <w:rPr>
      <w:rFonts w:ascii="Calibri" w:eastAsia="Calibri" w:hAnsi="Calibri" w:cs="Calibri"/>
      <w:sz w:val="20"/>
      <w:szCs w:val="20"/>
      <w:lang w:val="es-ES" w:eastAsia="en-US"/>
    </w:rPr>
  </w:style>
  <w:style w:type="paragraph" w:customStyle="1" w:styleId="WW-Contenidodelatabla">
    <w:name w:val="WW-Contenido de la tabla"/>
    <w:basedOn w:val="Textoindependiente1"/>
    <w:pPr>
      <w:widowControl w:val="0"/>
      <w:suppressLineNumbers/>
    </w:pPr>
    <w:rPr>
      <w:rFonts w:eastAsia="Arial Unicode MS"/>
      <w:lang w:eastAsia="ar-SA"/>
    </w:rPr>
  </w:style>
  <w:style w:type="paragraph" w:customStyle="1" w:styleId="Encabezado2">
    <w:name w:val="Encabezado2"/>
    <w:basedOn w:val="Standard"/>
    <w:pPr>
      <w:tabs>
        <w:tab w:val="center" w:pos="4680"/>
        <w:tab w:val="right" w:pos="9360"/>
      </w:tabs>
    </w:pPr>
  </w:style>
  <w:style w:type="paragraph" w:customStyle="1" w:styleId="Piedepgina2">
    <w:name w:val="Pie de página2"/>
    <w:basedOn w:val="Standard"/>
    <w:pPr>
      <w:tabs>
        <w:tab w:val="center" w:pos="4680"/>
        <w:tab w:val="right" w:pos="9360"/>
      </w:tabs>
    </w:pPr>
  </w:style>
  <w:style w:type="character" w:customStyle="1" w:styleId="Fuentedeprrafopredeter10">
    <w:name w:val="Fuente de párrafo predeter.1"/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EncabezadoCar">
    <w:name w:val="Encabezado Car"/>
    <w:uiPriority w:val="99"/>
    <w:rPr>
      <w:sz w:val="24"/>
      <w:szCs w:val="24"/>
      <w:lang w:val="es-CO"/>
    </w:rPr>
  </w:style>
  <w:style w:type="character" w:customStyle="1" w:styleId="TextodegloboCar">
    <w:name w:val="Texto de globo Car"/>
    <w:link w:val="Textodeglobo"/>
    <w:uiPriority w:val="99"/>
    <w:rPr>
      <w:rFonts w:ascii="Tahoma" w:eastAsia="Tahoma" w:hAnsi="Tahoma" w:cs="Tahoma"/>
      <w:sz w:val="16"/>
      <w:szCs w:val="16"/>
      <w:lang w:val="es-CO"/>
    </w:rPr>
  </w:style>
  <w:style w:type="character" w:customStyle="1" w:styleId="Textoindependiente2Car">
    <w:name w:val="Texto independiente 2 Car"/>
    <w:rPr>
      <w:rFonts w:ascii="Arial" w:eastAsia="Arial" w:hAnsi="Arial" w:cs="Arial"/>
      <w:sz w:val="24"/>
      <w:szCs w:val="24"/>
      <w:lang w:val="es-CO" w:eastAsia="ar-SA"/>
    </w:rPr>
  </w:style>
  <w:style w:type="character" w:customStyle="1" w:styleId="TextoindependienteCar">
    <w:name w:val="Texto independiente Car"/>
    <w:rPr>
      <w:sz w:val="24"/>
      <w:szCs w:val="24"/>
      <w:lang w:val="es-CO"/>
    </w:rPr>
  </w:style>
  <w:style w:type="character" w:customStyle="1" w:styleId="TextonotapieCar">
    <w:name w:val="Texto nota pie Car"/>
    <w:rPr>
      <w:rFonts w:ascii="Calibri" w:eastAsia="Calibri" w:hAnsi="Calibri" w:cs="Times New Roman"/>
      <w:lang w:eastAsia="en-US"/>
    </w:rPr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Absatz-Standardschriftart">
    <w:name w:val="Absatz-Standardschriftart"/>
  </w:style>
  <w:style w:type="character" w:customStyle="1" w:styleId="EncabezadoCar1">
    <w:name w:val="Encabezado Car1"/>
    <w:basedOn w:val="Fuentedeprrafopredeter1"/>
    <w:rPr>
      <w:sz w:val="24"/>
      <w:szCs w:val="24"/>
      <w:lang w:val="es-CO" w:eastAsia="es-ES"/>
    </w:rPr>
  </w:style>
  <w:style w:type="character" w:customStyle="1" w:styleId="PiedepginaCar">
    <w:name w:val="Pie de página Car"/>
    <w:basedOn w:val="Fuentedeprrafopredeter1"/>
    <w:uiPriority w:val="99"/>
    <w:rPr>
      <w:sz w:val="24"/>
      <w:szCs w:val="24"/>
      <w:lang w:val="es-CO" w:eastAsia="es-ES"/>
    </w:rPr>
  </w:style>
  <w:style w:type="paragraph" w:styleId="Encabezado">
    <w:name w:val="head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Fuentedeprrafopredeter"/>
  </w:style>
  <w:style w:type="paragraph" w:customStyle="1" w:styleId="TableParagraph">
    <w:name w:val="Table Paragraph"/>
    <w:basedOn w:val="Normal"/>
    <w:pPr>
      <w:suppressAutoHyphens w:val="0"/>
      <w:autoSpaceDE w:val="0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Textoindependiente">
    <w:name w:val="Body Text"/>
    <w:basedOn w:val="Normal"/>
    <w:pPr>
      <w:suppressAutoHyphens w:val="0"/>
      <w:autoSpaceDE w:val="0"/>
    </w:pPr>
  </w:style>
  <w:style w:type="character" w:customStyle="1" w:styleId="TextoindependienteCar1">
    <w:name w:val="Texto independiente Car1"/>
    <w:basedOn w:val="Fuentedeprrafopredeter"/>
  </w:style>
  <w:style w:type="numbering" w:customStyle="1" w:styleId="NoList1">
    <w:name w:val="No List_1"/>
    <w:basedOn w:val="Sinlista"/>
  </w:style>
  <w:style w:type="character" w:customStyle="1" w:styleId="Ttulo1Car">
    <w:name w:val="Título 1 Car"/>
    <w:basedOn w:val="Fuentedeprrafopredeter"/>
    <w:link w:val="Ttulo1"/>
    <w:uiPriority w:val="9"/>
    <w:rsid w:val="00D5062E"/>
    <w:rPr>
      <w:rFonts w:ascii="Century Gothic" w:hAnsi="Century Gothic"/>
      <w:b/>
      <w:bCs/>
      <w:color w:val="2E74B5" w:themeColor="accent1" w:themeShade="BF"/>
      <w:sz w:val="28"/>
      <w:szCs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5062E"/>
    <w:rPr>
      <w:rFonts w:ascii="Century Gothic" w:hAnsi="Century Gothic"/>
      <w:b/>
      <w:bCs/>
      <w:color w:val="2E74B5" w:themeColor="accent1" w:themeShade="BF"/>
      <w:sz w:val="26"/>
      <w:szCs w:val="26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5062E"/>
    <w:rPr>
      <w:rFonts w:ascii="Century Gothic" w:hAnsi="Century Gothic"/>
      <w:b/>
      <w:bCs/>
      <w:color w:val="93A299"/>
      <w:sz w:val="22"/>
      <w:szCs w:val="22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D5062E"/>
    <w:pPr>
      <w:outlineLvl w:val="9"/>
    </w:pPr>
    <w:rPr>
      <w:lang w:eastAsia="ja-JP"/>
    </w:rPr>
  </w:style>
  <w:style w:type="character" w:styleId="Nmerodepgina">
    <w:name w:val="page number"/>
    <w:basedOn w:val="Fuentedeprrafopredeter"/>
    <w:uiPriority w:val="99"/>
    <w:unhideWhenUsed/>
    <w:rsid w:val="00D5062E"/>
  </w:style>
  <w:style w:type="paragraph" w:styleId="TDC1">
    <w:name w:val="toc 1"/>
    <w:basedOn w:val="Normal"/>
    <w:next w:val="Normal"/>
    <w:autoRedefine/>
    <w:uiPriority w:val="39"/>
    <w:unhideWhenUsed/>
    <w:rsid w:val="009E03BE"/>
    <w:pPr>
      <w:spacing w:before="240" w:after="120"/>
    </w:pPr>
    <w:rPr>
      <w:rFonts w:ascii="Verdana" w:hAnsi="Verdana" w:cstheme="minorHAnsi"/>
      <w:bCs/>
      <w:sz w:val="20"/>
    </w:rPr>
  </w:style>
  <w:style w:type="character" w:styleId="Hipervnculo">
    <w:name w:val="Hyperlink"/>
    <w:basedOn w:val="Fuentedeprrafopredeter"/>
    <w:uiPriority w:val="99"/>
    <w:unhideWhenUsed/>
    <w:rsid w:val="00D506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062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D5062E"/>
    <w:pPr>
      <w:widowControl/>
    </w:pPr>
    <w:rPr>
      <w:rFonts w:asciiTheme="minorHAnsi" w:eastAsiaTheme="minorEastAsia" w:hAnsiTheme="minorHAnsi" w:cstheme="minorBidi"/>
      <w:sz w:val="22"/>
      <w:szCs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62E"/>
    <w:pPr>
      <w:widowControl/>
      <w:autoSpaceDE w:val="0"/>
      <w:adjustRightInd w:val="0"/>
    </w:pPr>
    <w:rPr>
      <w:rFonts w:ascii="Verdana" w:eastAsiaTheme="minorEastAsia" w:hAnsi="Verdana" w:cs="Verdana"/>
      <w:color w:val="000000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D5062E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D5062E"/>
    <w:pPr>
      <w:ind w:left="480"/>
    </w:pPr>
    <w:rPr>
      <w:rFonts w:asciiTheme="minorHAnsi" w:hAnsiTheme="minorHAnsi" w:cstheme="minorHAns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D5062E"/>
    <w:pPr>
      <w:ind w:left="720"/>
    </w:pPr>
    <w:rPr>
      <w:rFonts w:asciiTheme="minorHAnsi" w:hAnsiTheme="minorHAnsi" w:cstheme="minorHAns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D5062E"/>
    <w:pPr>
      <w:ind w:left="960"/>
    </w:pPr>
    <w:rPr>
      <w:rFonts w:asciiTheme="minorHAnsi" w:hAnsiTheme="minorHAnsi" w:cstheme="minorHAns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D5062E"/>
    <w:pPr>
      <w:ind w:left="1200"/>
    </w:pPr>
    <w:rPr>
      <w:rFonts w:asciiTheme="minorHAnsi" w:hAnsiTheme="minorHAnsi" w:cstheme="minorHAns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D5062E"/>
    <w:pPr>
      <w:ind w:left="1440"/>
    </w:pPr>
    <w:rPr>
      <w:rFonts w:asciiTheme="minorHAnsi" w:hAnsiTheme="minorHAnsi" w:cstheme="minorHAns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D5062E"/>
    <w:pPr>
      <w:ind w:left="1680"/>
    </w:pPr>
    <w:rPr>
      <w:rFonts w:asciiTheme="minorHAnsi" w:hAnsiTheme="minorHAnsi" w:cstheme="minorHAns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D5062E"/>
    <w:pPr>
      <w:ind w:left="1920"/>
    </w:pPr>
    <w:rPr>
      <w:rFonts w:asciiTheme="minorHAnsi" w:hAnsiTheme="minorHAnsi" w:cstheme="minorHAnsi"/>
      <w:sz w:val="20"/>
    </w:rPr>
  </w:style>
  <w:style w:type="paragraph" w:styleId="Revisin">
    <w:name w:val="Revision"/>
    <w:hidden/>
    <w:uiPriority w:val="99"/>
    <w:semiHidden/>
    <w:rsid w:val="00D5062E"/>
    <w:pPr>
      <w:widowControl/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apple-converted-space">
    <w:name w:val="apple-converted-space"/>
    <w:basedOn w:val="Fuentedeprrafopredeter"/>
    <w:rsid w:val="00D5062E"/>
  </w:style>
  <w:style w:type="paragraph" w:styleId="Textodeglobo">
    <w:name w:val="Balloon Text"/>
    <w:basedOn w:val="Normal"/>
    <w:link w:val="TextodegloboCar"/>
    <w:uiPriority w:val="99"/>
    <w:semiHidden/>
    <w:unhideWhenUsed/>
    <w:rsid w:val="00D5062E"/>
    <w:pPr>
      <w:widowControl/>
      <w:suppressAutoHyphens w:val="0"/>
    </w:pPr>
    <w:rPr>
      <w:rFonts w:ascii="Tahoma" w:eastAsia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D5062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A5184"/>
    <w:pPr>
      <w:suppressAutoHyphens/>
    </w:pPr>
  </w:style>
  <w:style w:type="character" w:styleId="Hipervnculovisitado">
    <w:name w:val="FollowedHyperlink"/>
    <w:basedOn w:val="Fuentedeprrafopredeter"/>
    <w:uiPriority w:val="99"/>
    <w:semiHidden/>
    <w:unhideWhenUsed/>
    <w:rsid w:val="00E77C22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web/eva/biblioteca-virtual/-/document_library/bGsp2IjUBdeu/view_file/34208239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xGdQjEg+02QOxDamkakREmedA==">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4349</Words>
  <Characters>23922</Characters>
  <Application>Microsoft Office Word</Application>
  <DocSecurity>0</DocSecurity>
  <Lines>199</Lines>
  <Paragraphs>56</Paragraphs>
  <ScaleCrop>false</ScaleCrop>
  <Company/>
  <LinksUpToDate>false</LinksUpToDate>
  <CharactersWithSpaces>28215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magda yusef rojas diaz</cp:lastModifiedBy>
  <cp:revision>2</cp:revision>
  <dcterms:created xsi:type="dcterms:W3CDTF">2022-11-21T01:07:00Z</dcterms:created>
  <dcterms:modified xsi:type="dcterms:W3CDTF">2022-12-26T21:24:00Z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