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82" w:rsidRDefault="00BC6282">
      <w:pPr>
        <w:pBdr>
          <w:top w:val="nil"/>
          <w:left w:val="nil"/>
          <w:bottom w:val="nil"/>
          <w:right w:val="nil"/>
          <w:between w:val="nil"/>
        </w:pBdr>
        <w:spacing w:line="276" w:lineRule="auto"/>
      </w:pPr>
    </w:p>
    <w:p w:rsidR="00BC6282" w:rsidRDefault="00BC6282">
      <w:pPr>
        <w:jc w:val="both"/>
      </w:pPr>
    </w:p>
    <w:p w:rsidR="00BC6282" w:rsidRDefault="00BC6282">
      <w:pPr>
        <w:widowControl/>
        <w:pBdr>
          <w:top w:val="nil"/>
          <w:left w:val="nil"/>
          <w:bottom w:val="nil"/>
          <w:right w:val="nil"/>
          <w:between w:val="nil"/>
        </w:pBdr>
        <w:tabs>
          <w:tab w:val="center" w:pos="4252"/>
          <w:tab w:val="right" w:pos="8504"/>
          <w:tab w:val="left" w:pos="7380"/>
        </w:tabs>
        <w:jc w:val="both"/>
        <w:rPr>
          <w:color w:val="000000"/>
        </w:rPr>
      </w:pPr>
    </w:p>
    <w:p w:rsidR="00BC6282" w:rsidRDefault="00BC6282">
      <w:pPr>
        <w:widowControl/>
        <w:pBdr>
          <w:top w:val="nil"/>
          <w:left w:val="nil"/>
          <w:bottom w:val="nil"/>
          <w:right w:val="nil"/>
          <w:between w:val="nil"/>
        </w:pBdr>
        <w:jc w:val="both"/>
        <w:rPr>
          <w:color w:val="000000"/>
        </w:rPr>
      </w:pPr>
      <w:bookmarkStart w:id="0" w:name="_heading=h.gjdgxs" w:colFirst="0" w:colLast="0"/>
      <w:bookmarkEnd w:id="0"/>
    </w:p>
    <w:p w:rsidR="00BC6282" w:rsidRDefault="00BC6282">
      <w:pPr>
        <w:jc w:val="both"/>
      </w:pPr>
    </w:p>
    <w:p w:rsidR="00BC6282" w:rsidRDefault="00BC6282">
      <w:pPr>
        <w:jc w:val="both"/>
      </w:pPr>
    </w:p>
    <w:p w:rsidR="00BC6282" w:rsidRDefault="00BC6282">
      <w:pPr>
        <w:jc w:val="both"/>
      </w:pPr>
    </w:p>
    <w:p w:rsidR="001A492D" w:rsidRPr="002A5082" w:rsidRDefault="001A492D" w:rsidP="001A492D"/>
    <w:p w:rsidR="001A492D" w:rsidRPr="002A5082" w:rsidRDefault="001A492D" w:rsidP="001A492D">
      <w:pPr>
        <w:rPr>
          <w:sz w:val="82"/>
          <w:szCs w:val="82"/>
        </w:rPr>
      </w:pPr>
    </w:p>
    <w:p w:rsidR="001A492D" w:rsidRPr="002A5082" w:rsidRDefault="001A492D" w:rsidP="001A492D">
      <w:pPr>
        <w:rPr>
          <w:sz w:val="96"/>
          <w:szCs w:val="96"/>
        </w:rPr>
      </w:pPr>
      <w:r w:rsidRPr="001A492D">
        <w:rPr>
          <w:sz w:val="82"/>
          <w:szCs w:val="82"/>
        </w:rPr>
        <w:t>PLAN DE TRABAJO</w:t>
      </w:r>
      <w:r>
        <w:rPr>
          <w:sz w:val="82"/>
          <w:szCs w:val="82"/>
        </w:rPr>
        <w:t xml:space="preserve"> </w:t>
      </w:r>
      <w:r w:rsidRPr="001A492D">
        <w:rPr>
          <w:sz w:val="82"/>
          <w:szCs w:val="82"/>
        </w:rPr>
        <w:t>DE SEGURIDAD Y</w:t>
      </w:r>
      <w:r>
        <w:rPr>
          <w:sz w:val="82"/>
          <w:szCs w:val="82"/>
        </w:rPr>
        <w:t xml:space="preserve"> </w:t>
      </w:r>
      <w:r w:rsidRPr="001A492D">
        <w:rPr>
          <w:sz w:val="82"/>
          <w:szCs w:val="82"/>
        </w:rPr>
        <w:t>SALUD EN EL</w:t>
      </w:r>
      <w:r>
        <w:rPr>
          <w:sz w:val="82"/>
          <w:szCs w:val="82"/>
        </w:rPr>
        <w:t xml:space="preserve"> </w:t>
      </w:r>
      <w:r w:rsidRPr="001A492D">
        <w:rPr>
          <w:sz w:val="82"/>
          <w:szCs w:val="82"/>
        </w:rPr>
        <w:t>TRABAJO 2023</w:t>
      </w:r>
    </w:p>
    <w:p w:rsidR="001A492D" w:rsidRPr="002A5082" w:rsidRDefault="001A492D" w:rsidP="001A492D">
      <w:pPr>
        <w:tabs>
          <w:tab w:val="left" w:pos="2834"/>
        </w:tabs>
        <w:rPr>
          <w:sz w:val="96"/>
          <w:szCs w:val="96"/>
        </w:rPr>
      </w:pPr>
      <w:r w:rsidRPr="002A5082">
        <w:rPr>
          <w:noProof/>
          <w:sz w:val="82"/>
          <w:szCs w:val="82"/>
        </w:rPr>
        <mc:AlternateContent>
          <mc:Choice Requires="wps">
            <w:drawing>
              <wp:anchor distT="0" distB="0" distL="114300" distR="114300" simplePos="0" relativeHeight="251659264" behindDoc="1" locked="0" layoutInCell="1" allowOverlap="1" wp14:anchorId="5860EEA8" wp14:editId="19B07874">
                <wp:simplePos x="0" y="0"/>
                <wp:positionH relativeFrom="page">
                  <wp:align>left</wp:align>
                </wp:positionH>
                <wp:positionV relativeFrom="paragraph">
                  <wp:posOffset>246380</wp:posOffset>
                </wp:positionV>
                <wp:extent cx="6172200" cy="342900"/>
                <wp:effectExtent l="0" t="0" r="0" b="0"/>
                <wp:wrapNone/>
                <wp:docPr id="1" name="Rectángulo 1"/>
                <wp:cNvGraphicFramePr/>
                <a:graphic xmlns:a="http://schemas.openxmlformats.org/drawingml/2006/main">
                  <a:graphicData uri="http://schemas.microsoft.com/office/word/2010/wordprocessingShape">
                    <wps:wsp>
                      <wps:cNvSpPr/>
                      <wps:spPr>
                        <a:xfrm>
                          <a:off x="0" y="0"/>
                          <a:ext cx="6172200" cy="342900"/>
                        </a:xfrm>
                        <a:prstGeom prst="rect">
                          <a:avLst/>
                        </a:prstGeom>
                        <a:solidFill>
                          <a:srgbClr val="2364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492D" w:rsidRPr="001E4E30" w:rsidRDefault="001A492D" w:rsidP="001A49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0EEA8" id="Rectángulo 1" o:spid="_x0000_s1026" style="position:absolute;margin-left:0;margin-top:19.4pt;width:486pt;height:27pt;z-index:-25165721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" fillcolor="#23649e" stroked="f" strokeweight="1pt">
                <v:textbox>
                  <w:txbxContent>
                    <w:p w:rsidR="001A492D" w:rsidRPr="001E4E30" w:rsidRDefault="001A492D" w:rsidP="001A492D">
                      <w:pPr>
                        <w:jc w:val="center"/>
                      </w:pPr>
                    </w:p>
                  </w:txbxContent>
                </v:textbox>
                <w10:wrap anchorx="page"/>
              </v:rect>
            </w:pict>
          </mc:Fallback>
        </mc:AlternateContent>
      </w:r>
      <w:r w:rsidRPr="002A5082">
        <w:rPr>
          <w:sz w:val="96"/>
          <w:szCs w:val="96"/>
        </w:rPr>
        <w:tab/>
      </w:r>
    </w:p>
    <w:p w:rsidR="001A492D" w:rsidRPr="002A5082" w:rsidRDefault="001A492D" w:rsidP="001A492D">
      <w:pPr>
        <w:tabs>
          <w:tab w:val="left" w:pos="2834"/>
        </w:tabs>
        <w:rPr>
          <w:sz w:val="96"/>
          <w:szCs w:val="96"/>
        </w:rPr>
      </w:pPr>
    </w:p>
    <w:p w:rsidR="001A492D" w:rsidRPr="002A5082" w:rsidRDefault="001A492D" w:rsidP="001A492D">
      <w:pPr>
        <w:tabs>
          <w:tab w:val="left" w:pos="2834"/>
        </w:tabs>
        <w:rPr>
          <w:sz w:val="96"/>
          <w:szCs w:val="96"/>
        </w:rPr>
      </w:pPr>
    </w:p>
    <w:p w:rsidR="00BC6282" w:rsidRDefault="00BC6282">
      <w:pPr>
        <w:jc w:val="both"/>
      </w:pPr>
    </w:p>
    <w:p w:rsidR="00BC6282" w:rsidRDefault="00BC6282">
      <w:pPr>
        <w:jc w:val="both"/>
      </w:pPr>
    </w:p>
    <w:p w:rsidR="00BC6282" w:rsidRDefault="00BC6282">
      <w:pPr>
        <w:jc w:val="both"/>
      </w:pPr>
    </w:p>
    <w:p w:rsidR="00BC6282" w:rsidRDefault="00BC6282">
      <w:pPr>
        <w:jc w:val="both"/>
      </w:pPr>
    </w:p>
    <w:p w:rsidR="00BC6282" w:rsidRDefault="00BC6282">
      <w:pPr>
        <w:jc w:val="both"/>
      </w:pPr>
    </w:p>
    <w:p w:rsidR="00BC6282" w:rsidRDefault="004532DF">
      <w:pPr>
        <w:keepNext/>
        <w:keepLines/>
        <w:widowControl/>
        <w:pBdr>
          <w:top w:val="nil"/>
          <w:left w:val="nil"/>
          <w:bottom w:val="nil"/>
          <w:right w:val="nil"/>
          <w:between w:val="nil"/>
        </w:pBdr>
        <w:spacing w:before="240" w:line="259" w:lineRule="auto"/>
        <w:jc w:val="center"/>
        <w:rPr>
          <w:rFonts w:ascii="Calibri" w:eastAsia="Calibri" w:hAnsi="Calibri" w:cs="Calibri"/>
          <w:color w:val="2F5496"/>
          <w:sz w:val="32"/>
          <w:szCs w:val="32"/>
        </w:rPr>
      </w:pPr>
      <w:r>
        <w:rPr>
          <w:rFonts w:ascii="Calibri" w:eastAsia="Calibri" w:hAnsi="Calibri" w:cs="Calibri"/>
          <w:color w:val="2F5496"/>
          <w:sz w:val="32"/>
          <w:szCs w:val="32"/>
        </w:rPr>
        <w:t>Contenido</w:t>
      </w:r>
    </w:p>
    <w:p w:rsidR="00BC6282" w:rsidRDefault="00BC6282"/>
    <w:sdt>
      <w:sdtPr>
        <w:id w:val="-1588533606"/>
        <w:docPartObj>
          <w:docPartGallery w:val="Table of Contents"/>
          <w:docPartUnique/>
        </w:docPartObj>
      </w:sdtPr>
      <w:sdtEndPr/>
      <w:sdtContent>
        <w:p w:rsidR="00BC6282" w:rsidRDefault="004532DF">
          <w:pPr>
            <w:pBdr>
              <w:top w:val="nil"/>
              <w:left w:val="nil"/>
              <w:bottom w:val="nil"/>
              <w:right w:val="nil"/>
              <w:between w:val="nil"/>
            </w:pBdr>
            <w:tabs>
              <w:tab w:val="right" w:pos="8828"/>
            </w:tabs>
            <w:spacing w:after="100"/>
            <w:rPr>
              <w:rFonts w:ascii="Calibri" w:eastAsia="Calibri" w:hAnsi="Calibri" w:cs="Calibri"/>
              <w:color w:val="000000"/>
            </w:rPr>
          </w:pPr>
          <w:r>
            <w:fldChar w:fldCharType="begin"/>
          </w:r>
          <w:r>
            <w:instrText xml:space="preserve"> TOC \h \u \z </w:instrText>
          </w:r>
          <w:r>
            <w:fldChar w:fldCharType="separate"/>
          </w:r>
          <w:hyperlink w:anchor="_heading=h.1fob9te">
            <w:r>
              <w:rPr>
                <w:b/>
                <w:color w:val="000000"/>
              </w:rPr>
              <w:t>INTRODUCCIÓN</w:t>
            </w:r>
          </w:hyperlink>
          <w:hyperlink w:anchor="_heading=h.1fob9te">
            <w:r>
              <w:rPr>
                <w:color w:val="000000"/>
              </w:rPr>
              <w:tab/>
              <w:t>3</w:t>
            </w:r>
          </w:hyperlink>
        </w:p>
        <w:p w:rsidR="00BC6282" w:rsidRDefault="004532DF">
          <w:pPr>
            <w:pBdr>
              <w:top w:val="nil"/>
              <w:left w:val="nil"/>
              <w:bottom w:val="nil"/>
              <w:right w:val="nil"/>
              <w:between w:val="nil"/>
            </w:pBdr>
            <w:tabs>
              <w:tab w:val="left" w:pos="660"/>
              <w:tab w:val="right" w:pos="8828"/>
            </w:tabs>
            <w:spacing w:after="100"/>
            <w:rPr>
              <w:rFonts w:ascii="Calibri" w:eastAsia="Calibri" w:hAnsi="Calibri" w:cs="Calibri"/>
              <w:color w:val="000000"/>
            </w:rPr>
          </w:pPr>
          <w:hyperlink w:anchor="_heading=h.3znysh7">
            <w:r>
              <w:rPr>
                <w:b/>
                <w:color w:val="000000"/>
              </w:rPr>
              <w:t>1.</w:t>
            </w:r>
          </w:hyperlink>
          <w:hyperlink w:anchor="_heading=h.3znysh7">
            <w:r>
              <w:rPr>
                <w:rFonts w:ascii="Calibri" w:eastAsia="Calibri" w:hAnsi="Calibri" w:cs="Calibri"/>
                <w:color w:val="000000"/>
              </w:rPr>
              <w:tab/>
            </w:r>
          </w:hyperlink>
          <w:r>
            <w:fldChar w:fldCharType="begin"/>
          </w:r>
          <w:r>
            <w:instrText xml:space="preserve"> PAGEREF _heading=h.3znysh7 \h </w:instrText>
          </w:r>
          <w:r>
            <w:fldChar w:fldCharType="separate"/>
          </w:r>
          <w:r>
            <w:rPr>
              <w:b/>
              <w:color w:val="000000"/>
            </w:rPr>
            <w:t>OBJETIVO</w:t>
          </w:r>
          <w:r>
            <w:rPr>
              <w:color w:val="000000"/>
            </w:rPr>
            <w:tab/>
            <w:t>3</w:t>
          </w:r>
          <w:r>
            <w:fldChar w:fldCharType="end"/>
          </w:r>
        </w:p>
        <w:p w:rsidR="00BC6282" w:rsidRDefault="004532DF">
          <w:pPr>
            <w:pBdr>
              <w:top w:val="nil"/>
              <w:left w:val="nil"/>
              <w:bottom w:val="nil"/>
              <w:right w:val="nil"/>
              <w:between w:val="nil"/>
            </w:pBdr>
            <w:tabs>
              <w:tab w:val="left" w:pos="660"/>
              <w:tab w:val="right" w:pos="8828"/>
            </w:tabs>
            <w:spacing w:after="100"/>
            <w:rPr>
              <w:rFonts w:ascii="Calibri" w:eastAsia="Calibri" w:hAnsi="Calibri" w:cs="Calibri"/>
              <w:color w:val="000000"/>
            </w:rPr>
          </w:pPr>
          <w:hyperlink w:anchor="_heading=h.2et92p0">
            <w:r>
              <w:rPr>
                <w:b/>
                <w:color w:val="000000"/>
              </w:rPr>
              <w:t>2.</w:t>
            </w:r>
          </w:hyperlink>
          <w:hyperlink w:anchor="_heading=h.2et92p0">
            <w:r>
              <w:rPr>
                <w:rFonts w:ascii="Calibri" w:eastAsia="Calibri" w:hAnsi="Calibri" w:cs="Calibri"/>
                <w:color w:val="000000"/>
              </w:rPr>
              <w:tab/>
            </w:r>
          </w:hyperlink>
          <w:r>
            <w:fldChar w:fldCharType="begin"/>
          </w:r>
          <w:r>
            <w:instrText xml:space="preserve"> PAGEREF _heading=h.2et92p0 \h </w:instrText>
          </w:r>
          <w:r>
            <w:fldChar w:fldCharType="separate"/>
          </w:r>
          <w:r>
            <w:rPr>
              <w:b/>
              <w:color w:val="000000"/>
            </w:rPr>
            <w:t>NORMATIVIDAD</w:t>
          </w:r>
          <w:r>
            <w:rPr>
              <w:color w:val="000000"/>
            </w:rPr>
            <w:tab/>
            <w:t>3</w:t>
          </w:r>
          <w:r>
            <w:fldChar w:fldCharType="end"/>
          </w:r>
        </w:p>
        <w:p w:rsidR="00BC6282" w:rsidRDefault="004532DF">
          <w:pPr>
            <w:pBdr>
              <w:top w:val="nil"/>
              <w:left w:val="nil"/>
              <w:bottom w:val="nil"/>
              <w:right w:val="nil"/>
              <w:between w:val="nil"/>
            </w:pBdr>
            <w:tabs>
              <w:tab w:val="left" w:pos="660"/>
              <w:tab w:val="right" w:pos="8828"/>
            </w:tabs>
            <w:spacing w:after="100"/>
            <w:rPr>
              <w:rFonts w:ascii="Calibri" w:eastAsia="Calibri" w:hAnsi="Calibri" w:cs="Calibri"/>
              <w:color w:val="000000"/>
            </w:rPr>
          </w:pPr>
          <w:hyperlink w:anchor="_heading=h.tyjcwt">
            <w:r>
              <w:rPr>
                <w:b/>
                <w:color w:val="000000"/>
              </w:rPr>
              <w:t>3.</w:t>
            </w:r>
          </w:hyperlink>
          <w:hyperlink w:anchor="_heading=h.tyjcwt">
            <w:r>
              <w:rPr>
                <w:rFonts w:ascii="Calibri" w:eastAsia="Calibri" w:hAnsi="Calibri" w:cs="Calibri"/>
                <w:color w:val="000000"/>
              </w:rPr>
              <w:tab/>
            </w:r>
          </w:hyperlink>
          <w:r>
            <w:fldChar w:fldCharType="begin"/>
          </w:r>
          <w:r>
            <w:instrText xml:space="preserve"> PAGEREF _heading=h.tyjcwt \h </w:instrText>
          </w:r>
          <w:r>
            <w:fldChar w:fldCharType="separate"/>
          </w:r>
          <w:r>
            <w:rPr>
              <w:b/>
              <w:color w:val="000000"/>
            </w:rPr>
            <w:t>POLÍTICA SISTEMA INTEGRADO</w:t>
          </w:r>
          <w:r>
            <w:rPr>
              <w:color w:val="000000"/>
            </w:rPr>
            <w:tab/>
            <w:t>4</w:t>
          </w:r>
          <w:r>
            <w:fldChar w:fldCharType="end"/>
          </w:r>
        </w:p>
        <w:p w:rsidR="00BC6282" w:rsidRDefault="004532DF">
          <w:pPr>
            <w:pBdr>
              <w:top w:val="nil"/>
              <w:left w:val="nil"/>
              <w:bottom w:val="nil"/>
              <w:right w:val="nil"/>
              <w:between w:val="nil"/>
            </w:pBdr>
            <w:tabs>
              <w:tab w:val="left" w:pos="660"/>
              <w:tab w:val="right" w:pos="8828"/>
            </w:tabs>
            <w:spacing w:after="100"/>
            <w:rPr>
              <w:rFonts w:ascii="Calibri" w:eastAsia="Calibri" w:hAnsi="Calibri" w:cs="Calibri"/>
              <w:color w:val="000000"/>
            </w:rPr>
          </w:pPr>
          <w:hyperlink w:anchor="_heading=h.3dy6vkm">
            <w:r>
              <w:rPr>
                <w:b/>
                <w:color w:val="000000"/>
              </w:rPr>
              <w:t>4.</w:t>
            </w:r>
          </w:hyperlink>
          <w:hyperlink w:anchor="_heading=h.3dy6vkm">
            <w:r>
              <w:rPr>
                <w:rFonts w:ascii="Calibri" w:eastAsia="Calibri" w:hAnsi="Calibri" w:cs="Calibri"/>
                <w:color w:val="000000"/>
              </w:rPr>
              <w:tab/>
            </w:r>
          </w:hyperlink>
          <w:r>
            <w:fldChar w:fldCharType="begin"/>
          </w:r>
          <w:r>
            <w:instrText xml:space="preserve"> PAGEREF _heading=h.3dy6vkm \h </w:instrText>
          </w:r>
          <w:r>
            <w:fldChar w:fldCharType="separate"/>
          </w:r>
          <w:r>
            <w:rPr>
              <w:b/>
              <w:color w:val="000000"/>
            </w:rPr>
            <w:t>ESTRUCTURACIÓN DEL PLAN DE TRABAJO DEL SISTEMA DE GESTIÓN DE SEGURIDAD Y SALUD EN EL TRABAJO</w:t>
          </w:r>
          <w:r>
            <w:rPr>
              <w:color w:val="000000"/>
            </w:rPr>
            <w:tab/>
            <w:t>5</w:t>
          </w:r>
          <w:r>
            <w:fldChar w:fldCharType="end"/>
          </w:r>
        </w:p>
        <w:p w:rsidR="00BC6282" w:rsidRDefault="004532DF">
          <w:pPr>
            <w:pBdr>
              <w:top w:val="nil"/>
              <w:left w:val="nil"/>
              <w:bottom w:val="nil"/>
              <w:right w:val="nil"/>
              <w:between w:val="nil"/>
            </w:pBdr>
            <w:tabs>
              <w:tab w:val="left" w:pos="660"/>
              <w:tab w:val="right" w:pos="8828"/>
            </w:tabs>
            <w:spacing w:after="100"/>
            <w:rPr>
              <w:rFonts w:ascii="Calibri" w:eastAsia="Calibri" w:hAnsi="Calibri" w:cs="Calibri"/>
              <w:color w:val="000000"/>
            </w:rPr>
          </w:pPr>
          <w:hyperlink w:anchor="_heading=h.1t3h5sf">
            <w:r>
              <w:rPr>
                <w:b/>
                <w:color w:val="000000"/>
              </w:rPr>
              <w:t>5.</w:t>
            </w:r>
          </w:hyperlink>
          <w:hyperlink w:anchor="_heading=h.1t3h5sf">
            <w:r>
              <w:rPr>
                <w:rFonts w:ascii="Calibri" w:eastAsia="Calibri" w:hAnsi="Calibri" w:cs="Calibri"/>
                <w:color w:val="000000"/>
              </w:rPr>
              <w:tab/>
            </w:r>
          </w:hyperlink>
          <w:r>
            <w:fldChar w:fldCharType="begin"/>
          </w:r>
          <w:r>
            <w:instrText xml:space="preserve"> PAGEREF _heading=h.1t3h5sf \h </w:instrText>
          </w:r>
          <w:r>
            <w:fldChar w:fldCharType="separate"/>
          </w:r>
          <w:r>
            <w:rPr>
              <w:b/>
              <w:color w:val="000000"/>
            </w:rPr>
            <w:t>RECURSOS</w:t>
          </w:r>
          <w:r>
            <w:rPr>
              <w:color w:val="000000"/>
            </w:rPr>
            <w:tab/>
            <w:t>5</w:t>
          </w:r>
          <w:r>
            <w:fldChar w:fldCharType="end"/>
          </w:r>
        </w:p>
        <w:p w:rsidR="00BC6282" w:rsidRDefault="004532DF">
          <w:pPr>
            <w:pBdr>
              <w:top w:val="nil"/>
              <w:left w:val="nil"/>
              <w:bottom w:val="nil"/>
              <w:right w:val="nil"/>
              <w:between w:val="nil"/>
            </w:pBdr>
            <w:tabs>
              <w:tab w:val="left" w:pos="660"/>
              <w:tab w:val="right" w:pos="8828"/>
            </w:tabs>
            <w:spacing w:after="100"/>
            <w:rPr>
              <w:rFonts w:ascii="Calibri" w:eastAsia="Calibri" w:hAnsi="Calibri" w:cs="Calibri"/>
              <w:color w:val="000000"/>
            </w:rPr>
          </w:pPr>
          <w:hyperlink w:anchor="_heading=h.4d34og8">
            <w:r>
              <w:rPr>
                <w:b/>
                <w:color w:val="000000"/>
              </w:rPr>
              <w:t>5.1</w:t>
            </w:r>
          </w:hyperlink>
          <w:hyperlink w:anchor="_heading=h.4d34og8">
            <w:r>
              <w:rPr>
                <w:rFonts w:ascii="Calibri" w:eastAsia="Calibri" w:hAnsi="Calibri" w:cs="Calibri"/>
                <w:color w:val="000000"/>
              </w:rPr>
              <w:tab/>
            </w:r>
          </w:hyperlink>
          <w:r>
            <w:fldChar w:fldCharType="begin"/>
          </w:r>
          <w:r>
            <w:instrText xml:space="preserve"> PAGEREF _heading=h.4d34og8 \h </w:instrText>
          </w:r>
          <w:r>
            <w:fldChar w:fldCharType="separate"/>
          </w:r>
          <w:r>
            <w:rPr>
              <w:b/>
              <w:color w:val="000000"/>
            </w:rPr>
            <w:t>Recurso Humano</w:t>
          </w:r>
          <w:r>
            <w:rPr>
              <w:color w:val="000000"/>
            </w:rPr>
            <w:tab/>
            <w:t>5</w:t>
          </w:r>
          <w:r>
            <w:fldChar w:fldCharType="end"/>
          </w:r>
        </w:p>
        <w:p w:rsidR="00BC6282" w:rsidRDefault="004532DF">
          <w:pPr>
            <w:pBdr>
              <w:top w:val="nil"/>
              <w:left w:val="nil"/>
              <w:bottom w:val="nil"/>
              <w:right w:val="nil"/>
              <w:between w:val="nil"/>
            </w:pBdr>
            <w:tabs>
              <w:tab w:val="left" w:pos="660"/>
              <w:tab w:val="right" w:pos="8828"/>
            </w:tabs>
            <w:spacing w:after="100"/>
            <w:rPr>
              <w:rFonts w:ascii="Calibri" w:eastAsia="Calibri" w:hAnsi="Calibri" w:cs="Calibri"/>
              <w:color w:val="000000"/>
            </w:rPr>
          </w:pPr>
          <w:hyperlink w:anchor="_heading=h.2s8eyo1">
            <w:r>
              <w:rPr>
                <w:b/>
                <w:color w:val="000000"/>
              </w:rPr>
              <w:t>5.2</w:t>
            </w:r>
          </w:hyperlink>
          <w:hyperlink w:anchor="_heading=h.2s8eyo1">
            <w:r>
              <w:rPr>
                <w:rFonts w:ascii="Calibri" w:eastAsia="Calibri" w:hAnsi="Calibri" w:cs="Calibri"/>
                <w:color w:val="000000"/>
              </w:rPr>
              <w:tab/>
            </w:r>
          </w:hyperlink>
          <w:r>
            <w:fldChar w:fldCharType="begin"/>
          </w:r>
          <w:r>
            <w:instrText xml:space="preserve"> PAGEREF _heading=h.2s8eyo1 \h </w:instrText>
          </w:r>
          <w:r>
            <w:fldChar w:fldCharType="separate"/>
          </w:r>
          <w:r>
            <w:rPr>
              <w:b/>
              <w:color w:val="000000"/>
            </w:rPr>
            <w:t>Recurso Técnico</w:t>
          </w:r>
          <w:r>
            <w:rPr>
              <w:color w:val="000000"/>
            </w:rPr>
            <w:tab/>
            <w:t>6</w:t>
          </w:r>
          <w:r>
            <w:fldChar w:fldCharType="end"/>
          </w:r>
        </w:p>
        <w:p w:rsidR="00BC6282" w:rsidRDefault="004532DF">
          <w:pPr>
            <w:pBdr>
              <w:top w:val="nil"/>
              <w:left w:val="nil"/>
              <w:bottom w:val="nil"/>
              <w:right w:val="nil"/>
              <w:between w:val="nil"/>
            </w:pBdr>
            <w:tabs>
              <w:tab w:val="left" w:pos="660"/>
              <w:tab w:val="right" w:pos="8828"/>
            </w:tabs>
            <w:spacing w:after="100"/>
            <w:rPr>
              <w:rFonts w:ascii="Calibri" w:eastAsia="Calibri" w:hAnsi="Calibri" w:cs="Calibri"/>
              <w:color w:val="000000"/>
            </w:rPr>
          </w:pPr>
          <w:hyperlink w:anchor="_heading=h.17dp8vu">
            <w:r>
              <w:rPr>
                <w:b/>
                <w:color w:val="000000"/>
              </w:rPr>
              <w:t>5.3</w:t>
            </w:r>
          </w:hyperlink>
          <w:hyperlink w:anchor="_heading=h.17dp8vu">
            <w:r>
              <w:rPr>
                <w:rFonts w:ascii="Calibri" w:eastAsia="Calibri" w:hAnsi="Calibri" w:cs="Calibri"/>
                <w:color w:val="000000"/>
              </w:rPr>
              <w:tab/>
            </w:r>
          </w:hyperlink>
          <w:r>
            <w:fldChar w:fldCharType="begin"/>
          </w:r>
          <w:r>
            <w:instrText xml:space="preserve"> PAGEREF _heading=h.17dp8vu \h </w:instrText>
          </w:r>
          <w:r>
            <w:fldChar w:fldCharType="separate"/>
          </w:r>
          <w:r>
            <w:rPr>
              <w:b/>
              <w:color w:val="000000"/>
            </w:rPr>
            <w:t>Recurso Financiero</w:t>
          </w:r>
          <w:r>
            <w:rPr>
              <w:color w:val="000000"/>
            </w:rPr>
            <w:tab/>
            <w:t>6</w:t>
          </w:r>
          <w:r>
            <w:fldChar w:fldCharType="end"/>
          </w:r>
        </w:p>
        <w:p w:rsidR="00BC6282" w:rsidRDefault="004532DF">
          <w:pPr>
            <w:pBdr>
              <w:top w:val="nil"/>
              <w:left w:val="nil"/>
              <w:bottom w:val="nil"/>
              <w:right w:val="nil"/>
              <w:between w:val="nil"/>
            </w:pBdr>
            <w:tabs>
              <w:tab w:val="left" w:pos="660"/>
              <w:tab w:val="right" w:pos="8828"/>
            </w:tabs>
            <w:spacing w:after="100"/>
            <w:rPr>
              <w:rFonts w:ascii="Calibri" w:eastAsia="Calibri" w:hAnsi="Calibri" w:cs="Calibri"/>
              <w:color w:val="000000"/>
            </w:rPr>
          </w:pPr>
          <w:hyperlink w:anchor="_heading=h.3rdcrjn">
            <w:r>
              <w:rPr>
                <w:b/>
                <w:color w:val="000000"/>
              </w:rPr>
              <w:t>6.</w:t>
            </w:r>
          </w:hyperlink>
          <w:hyperlink w:anchor="_heading=h.3rdcrjn">
            <w:r>
              <w:rPr>
                <w:rFonts w:ascii="Calibri" w:eastAsia="Calibri" w:hAnsi="Calibri" w:cs="Calibri"/>
                <w:color w:val="000000"/>
              </w:rPr>
              <w:tab/>
            </w:r>
          </w:hyperlink>
          <w:r>
            <w:fldChar w:fldCharType="begin"/>
          </w:r>
          <w:r>
            <w:instrText xml:space="preserve"> PAGEREF _heading=h.3rdcrjn \h </w:instrText>
          </w:r>
          <w:r>
            <w:fldChar w:fldCharType="separate"/>
          </w:r>
          <w:r>
            <w:rPr>
              <w:b/>
              <w:color w:val="000000"/>
            </w:rPr>
            <w:t>EVALUACIÓN Y DIA</w:t>
          </w:r>
          <w:r>
            <w:rPr>
              <w:b/>
              <w:color w:val="000000"/>
            </w:rPr>
            <w:t>GNÓSTICO</w:t>
          </w:r>
          <w:r>
            <w:rPr>
              <w:color w:val="000000"/>
            </w:rPr>
            <w:tab/>
            <w:t>6</w:t>
          </w:r>
          <w:r>
            <w:fldChar w:fldCharType="end"/>
          </w:r>
        </w:p>
        <w:p w:rsidR="00BC6282" w:rsidRDefault="004532DF">
          <w:pPr>
            <w:pBdr>
              <w:top w:val="nil"/>
              <w:left w:val="nil"/>
              <w:bottom w:val="nil"/>
              <w:right w:val="nil"/>
              <w:between w:val="nil"/>
            </w:pBdr>
            <w:tabs>
              <w:tab w:val="left" w:pos="660"/>
              <w:tab w:val="right" w:pos="8828"/>
            </w:tabs>
            <w:spacing w:after="100"/>
            <w:rPr>
              <w:rFonts w:ascii="Calibri" w:eastAsia="Calibri" w:hAnsi="Calibri" w:cs="Calibri"/>
              <w:color w:val="000000"/>
            </w:rPr>
          </w:pPr>
          <w:hyperlink w:anchor="_heading=h.26in1rg">
            <w:r>
              <w:rPr>
                <w:b/>
                <w:color w:val="000000"/>
              </w:rPr>
              <w:t>6.1</w:t>
            </w:r>
          </w:hyperlink>
          <w:hyperlink w:anchor="_heading=h.26in1rg">
            <w:r>
              <w:rPr>
                <w:rFonts w:ascii="Calibri" w:eastAsia="Calibri" w:hAnsi="Calibri" w:cs="Calibri"/>
                <w:color w:val="000000"/>
              </w:rPr>
              <w:tab/>
            </w:r>
          </w:hyperlink>
          <w:r>
            <w:fldChar w:fldCharType="begin"/>
          </w:r>
          <w:r>
            <w:instrText xml:space="preserve"> PAGEREF _heading=h.26in1rg \h </w:instrText>
          </w:r>
          <w:r>
            <w:fldChar w:fldCharType="separate"/>
          </w:r>
          <w:r>
            <w:rPr>
              <w:b/>
              <w:color w:val="000000"/>
            </w:rPr>
            <w:t>Seguimiento y Evaluación</w:t>
          </w:r>
          <w:r>
            <w:rPr>
              <w:color w:val="000000"/>
            </w:rPr>
            <w:tab/>
            <w:t>6</w:t>
          </w:r>
          <w:r>
            <w:fldChar w:fldCharType="end"/>
          </w:r>
        </w:p>
        <w:p w:rsidR="00BC6282" w:rsidRDefault="004532DF">
          <w:r>
            <w:fldChar w:fldCharType="end"/>
          </w:r>
        </w:p>
      </w:sdtContent>
    </w:sdt>
    <w:p w:rsidR="00BC6282" w:rsidRDefault="00BC6282">
      <w:pPr>
        <w:jc w:val="both"/>
        <w:rPr>
          <w:b/>
        </w:rPr>
      </w:pPr>
    </w:p>
    <w:p w:rsidR="00BC6282" w:rsidRDefault="00BC6282">
      <w:pPr>
        <w:jc w:val="center"/>
        <w:rPr>
          <w:b/>
        </w:rPr>
      </w:pPr>
    </w:p>
    <w:p w:rsidR="00BC6282" w:rsidRDefault="00BC6282">
      <w:pPr>
        <w:jc w:val="center"/>
        <w:rPr>
          <w:b/>
        </w:rPr>
      </w:pPr>
    </w:p>
    <w:p w:rsidR="00BC6282" w:rsidRDefault="00BC6282">
      <w:pPr>
        <w:jc w:val="center"/>
        <w:rPr>
          <w:b/>
        </w:rPr>
      </w:pPr>
    </w:p>
    <w:p w:rsidR="00BC6282" w:rsidRDefault="00BC6282">
      <w:pPr>
        <w:jc w:val="center"/>
        <w:rPr>
          <w:b/>
        </w:rPr>
      </w:pPr>
    </w:p>
    <w:p w:rsidR="00BC6282" w:rsidRDefault="00BC6282">
      <w:pPr>
        <w:jc w:val="center"/>
        <w:rPr>
          <w:b/>
        </w:rPr>
      </w:pPr>
      <w:bookmarkStart w:id="1" w:name="_heading=h.30j0zll" w:colFirst="0" w:colLast="0"/>
      <w:bookmarkEnd w:id="1"/>
    </w:p>
    <w:p w:rsidR="00BC6282" w:rsidRDefault="00BC6282">
      <w:pPr>
        <w:jc w:val="center"/>
        <w:rPr>
          <w:b/>
        </w:rPr>
      </w:pPr>
    </w:p>
    <w:p w:rsidR="00BC6282" w:rsidRDefault="00BC6282">
      <w:pPr>
        <w:jc w:val="center"/>
        <w:rPr>
          <w:b/>
        </w:rPr>
      </w:pPr>
    </w:p>
    <w:p w:rsidR="00BC6282" w:rsidRDefault="00BC6282">
      <w:pPr>
        <w:jc w:val="center"/>
        <w:rPr>
          <w:b/>
        </w:rPr>
      </w:pPr>
    </w:p>
    <w:p w:rsidR="00BC6282" w:rsidRDefault="00BC6282">
      <w:pPr>
        <w:jc w:val="center"/>
        <w:rPr>
          <w:b/>
        </w:rPr>
      </w:pPr>
    </w:p>
    <w:p w:rsidR="00BC6282" w:rsidRDefault="00BC6282">
      <w:pPr>
        <w:jc w:val="center"/>
        <w:rPr>
          <w:b/>
        </w:rPr>
      </w:pPr>
    </w:p>
    <w:p w:rsidR="00BC6282" w:rsidRDefault="00BC6282">
      <w:pPr>
        <w:jc w:val="center"/>
        <w:rPr>
          <w:b/>
        </w:rPr>
      </w:pPr>
    </w:p>
    <w:p w:rsidR="00BC6282" w:rsidRDefault="00BC6282">
      <w:pPr>
        <w:jc w:val="center"/>
        <w:rPr>
          <w:b/>
        </w:rPr>
      </w:pPr>
    </w:p>
    <w:p w:rsidR="00BC6282" w:rsidRDefault="00BC6282">
      <w:pPr>
        <w:jc w:val="center"/>
        <w:rPr>
          <w:b/>
        </w:rPr>
      </w:pPr>
    </w:p>
    <w:p w:rsidR="00BC6282" w:rsidRDefault="00BC6282">
      <w:pPr>
        <w:jc w:val="center"/>
        <w:rPr>
          <w:b/>
        </w:rPr>
      </w:pPr>
    </w:p>
    <w:p w:rsidR="00BC6282" w:rsidRDefault="00BC6282">
      <w:pPr>
        <w:jc w:val="center"/>
        <w:rPr>
          <w:b/>
        </w:rPr>
      </w:pPr>
    </w:p>
    <w:p w:rsidR="00BC6282" w:rsidRDefault="00BC6282">
      <w:pPr>
        <w:jc w:val="center"/>
        <w:rPr>
          <w:b/>
        </w:rPr>
      </w:pPr>
    </w:p>
    <w:p w:rsidR="00BC6282" w:rsidRDefault="00BC6282">
      <w:pPr>
        <w:jc w:val="center"/>
        <w:rPr>
          <w:b/>
        </w:rPr>
      </w:pPr>
    </w:p>
    <w:p w:rsidR="00BC6282" w:rsidRDefault="00BC6282">
      <w:pPr>
        <w:jc w:val="center"/>
        <w:rPr>
          <w:b/>
        </w:rPr>
      </w:pPr>
    </w:p>
    <w:p w:rsidR="00BC6282" w:rsidRDefault="00BC6282">
      <w:pPr>
        <w:jc w:val="center"/>
        <w:rPr>
          <w:b/>
        </w:rPr>
      </w:pPr>
    </w:p>
    <w:p w:rsidR="00BC6282" w:rsidRDefault="00BC6282">
      <w:pPr>
        <w:jc w:val="center"/>
        <w:rPr>
          <w:b/>
        </w:rPr>
      </w:pPr>
    </w:p>
    <w:p w:rsidR="00BC6282" w:rsidRDefault="00BC6282">
      <w:pPr>
        <w:jc w:val="center"/>
        <w:rPr>
          <w:b/>
        </w:rPr>
      </w:pPr>
    </w:p>
    <w:p w:rsidR="00BC6282" w:rsidRDefault="00BC6282">
      <w:pPr>
        <w:jc w:val="center"/>
        <w:rPr>
          <w:b/>
        </w:rPr>
      </w:pPr>
    </w:p>
    <w:p w:rsidR="00BC6282" w:rsidRDefault="00BC6282" w:rsidP="001A492D">
      <w:pPr>
        <w:rPr>
          <w:b/>
        </w:rPr>
      </w:pPr>
    </w:p>
    <w:p w:rsidR="00BC6282" w:rsidRDefault="004532DF">
      <w:pPr>
        <w:pStyle w:val="Ttulo1"/>
        <w:jc w:val="center"/>
        <w:rPr>
          <w:b/>
        </w:rPr>
      </w:pPr>
      <w:bookmarkStart w:id="2" w:name="_heading=h.1fob9te" w:colFirst="0" w:colLast="0"/>
      <w:bookmarkEnd w:id="2"/>
      <w:r>
        <w:rPr>
          <w:b/>
        </w:rPr>
        <w:t>INTRODUCCIÓN</w:t>
      </w:r>
    </w:p>
    <w:p w:rsidR="00BC6282" w:rsidRDefault="00BC6282">
      <w:pPr>
        <w:pBdr>
          <w:top w:val="nil"/>
          <w:left w:val="nil"/>
          <w:bottom w:val="nil"/>
          <w:right w:val="nil"/>
          <w:between w:val="nil"/>
        </w:pBdr>
        <w:jc w:val="both"/>
        <w:rPr>
          <w:color w:val="000000"/>
        </w:rPr>
      </w:pPr>
    </w:p>
    <w:p w:rsidR="00BC6282" w:rsidRDefault="004532DF">
      <w:pPr>
        <w:pBdr>
          <w:top w:val="nil"/>
          <w:left w:val="nil"/>
          <w:bottom w:val="nil"/>
          <w:right w:val="nil"/>
          <w:between w:val="nil"/>
        </w:pBdr>
        <w:ind w:left="360"/>
        <w:jc w:val="both"/>
        <w:rPr>
          <w:color w:val="000000"/>
        </w:rPr>
      </w:pPr>
      <w:r>
        <w:rPr>
          <w:color w:val="000000"/>
        </w:rPr>
        <w:t xml:space="preserve">El Sistema de Gestión de Seguridad y Salud en el Trabajo (SG-SST) se elabora en cumplimiento de lo establecido en la Ley 1562 de 2012, Decreto 1072 de 2015, Resolución 0312 de 2019 y demás normativa legal vigente en el marco del Sistema General de Riesgos </w:t>
      </w:r>
      <w:r>
        <w:rPr>
          <w:color w:val="000000"/>
        </w:rPr>
        <w:t xml:space="preserve">Laborales, y debe aprovecharse para dar un impulso decidido a la acción preventiva en el Instituto Nacional para Sordos (INSOR). El SG-SST está basado en el ciclo PHVA (Planear, Hacer, Verificar y Actuar) y consiste en el desarrollo de un proceso lógico y </w:t>
      </w:r>
      <w:r>
        <w:rPr>
          <w:color w:val="000000"/>
        </w:rPr>
        <w:t>por etapas, basado en la mejora continua y que incluye la política, la organización, la planificación, la aplicación, la evaluación, la auditoría y las acciones de mejora con el objetivo de anticipar, reconocer, evaluar y controlar los riesgos que puedan a</w:t>
      </w:r>
      <w:r>
        <w:rPr>
          <w:color w:val="000000"/>
        </w:rPr>
        <w:t xml:space="preserve">fectar la Seguridad y Salud en el Trabajo. </w:t>
      </w:r>
    </w:p>
    <w:p w:rsidR="00BC6282" w:rsidRDefault="00BC6282">
      <w:pPr>
        <w:pBdr>
          <w:top w:val="nil"/>
          <w:left w:val="nil"/>
          <w:bottom w:val="nil"/>
          <w:right w:val="nil"/>
          <w:between w:val="nil"/>
        </w:pBdr>
        <w:ind w:left="360"/>
        <w:jc w:val="both"/>
        <w:rPr>
          <w:color w:val="000000"/>
        </w:rPr>
      </w:pPr>
    </w:p>
    <w:p w:rsidR="00BC6282" w:rsidRDefault="004532DF">
      <w:pPr>
        <w:pBdr>
          <w:top w:val="nil"/>
          <w:left w:val="nil"/>
          <w:bottom w:val="nil"/>
          <w:right w:val="nil"/>
          <w:between w:val="nil"/>
        </w:pBdr>
        <w:ind w:left="360"/>
        <w:jc w:val="both"/>
        <w:rPr>
          <w:color w:val="000000"/>
        </w:rPr>
      </w:pPr>
      <w:r>
        <w:rPr>
          <w:color w:val="000000"/>
        </w:rPr>
        <w:t>Así mismo, el SG-SST, es responsabilidad de todos y cada uno de los servidores públicos, contratistas y trabajadores misionales quienes con su compromiso de autocuidado, autoprotección y el firme apoyo de la Ent</w:t>
      </w:r>
      <w:r>
        <w:rPr>
          <w:color w:val="000000"/>
        </w:rPr>
        <w:t>idad hacen posible la prevención de los riesgos laborales, es decir que propenden por impedir la ocurrencia de accidentes de trabajo, la exposición al factor de riesgo y desarrollo de enfermedades laborales; de igual manera, contribuyen al control total de</w:t>
      </w:r>
      <w:r>
        <w:rPr>
          <w:color w:val="000000"/>
        </w:rPr>
        <w:t xml:space="preserve"> pérdidas no solamente en su salud, sino sobre el medio ambiente y los activos de la Entidad, sean éstos: materiales, equipos, instalaciones e incluso procesos del SG-SST, el cual recoge la estructura organizacional, las responsabilidades, funciones, práct</w:t>
      </w:r>
      <w:r>
        <w:rPr>
          <w:color w:val="000000"/>
        </w:rPr>
        <w:t>icas, procedimientos, procesos y recursos necesarios para realizar acción de Prevención de Riesgos Laborales.</w:t>
      </w:r>
    </w:p>
    <w:p w:rsidR="00BC6282" w:rsidRDefault="00BC6282">
      <w:pPr>
        <w:pBdr>
          <w:top w:val="nil"/>
          <w:left w:val="nil"/>
          <w:bottom w:val="nil"/>
          <w:right w:val="nil"/>
          <w:between w:val="nil"/>
        </w:pBdr>
        <w:ind w:left="360"/>
        <w:jc w:val="both"/>
        <w:rPr>
          <w:color w:val="000000"/>
        </w:rPr>
      </w:pPr>
    </w:p>
    <w:p w:rsidR="00BC6282" w:rsidRDefault="004532DF">
      <w:pPr>
        <w:pBdr>
          <w:top w:val="nil"/>
          <w:left w:val="nil"/>
          <w:bottom w:val="nil"/>
          <w:right w:val="nil"/>
          <w:between w:val="nil"/>
        </w:pBdr>
        <w:ind w:left="360"/>
        <w:jc w:val="both"/>
        <w:rPr>
          <w:color w:val="000000"/>
        </w:rPr>
      </w:pPr>
      <w:r>
        <w:rPr>
          <w:color w:val="000000"/>
        </w:rPr>
        <w:t>Por lo anterior, es responsabilidad del INSOR garantizar espacios y ambientes seguros que permitan a los servidores públicos, contratistas, pract</w:t>
      </w:r>
      <w:r>
        <w:rPr>
          <w:color w:val="000000"/>
        </w:rPr>
        <w:t>icantes y demás colaboradores, desempeñen sus funciones bajo óptimas condiciones de trabajo y salud física y mental, con el fin que la entidad sea parte del motor de desarrollo económico y social.</w:t>
      </w:r>
    </w:p>
    <w:p w:rsidR="00BC6282" w:rsidRDefault="004532DF">
      <w:pPr>
        <w:pBdr>
          <w:top w:val="nil"/>
          <w:left w:val="nil"/>
          <w:bottom w:val="nil"/>
          <w:right w:val="nil"/>
          <w:between w:val="nil"/>
        </w:pBdr>
        <w:ind w:left="360"/>
        <w:jc w:val="both"/>
        <w:rPr>
          <w:color w:val="000000"/>
        </w:rPr>
      </w:pPr>
      <w:r>
        <w:rPr>
          <w:color w:val="000000"/>
        </w:rPr>
        <w:t xml:space="preserve"> </w:t>
      </w:r>
    </w:p>
    <w:p w:rsidR="00BC6282" w:rsidRDefault="004532DF">
      <w:pPr>
        <w:pBdr>
          <w:top w:val="nil"/>
          <w:left w:val="nil"/>
          <w:bottom w:val="nil"/>
          <w:right w:val="nil"/>
          <w:between w:val="nil"/>
        </w:pBdr>
        <w:ind w:left="360"/>
        <w:jc w:val="both"/>
        <w:rPr>
          <w:color w:val="000000"/>
        </w:rPr>
      </w:pPr>
      <w:r>
        <w:rPr>
          <w:color w:val="000000"/>
        </w:rPr>
        <w:t>Los recursos destinados al SG-SST de la Entidad tendrán e</w:t>
      </w:r>
      <w:r>
        <w:rPr>
          <w:color w:val="000000"/>
        </w:rPr>
        <w:t xml:space="preserve">l carácter de inversión básica, tendientes a asegurar el bienestar integral de todos los servidores públicos, contratistas y practicantes en relación con su trabajo y la protección de la Entidad contra posibles pérdidas. </w:t>
      </w:r>
    </w:p>
    <w:p w:rsidR="001A492D" w:rsidRDefault="001A492D">
      <w:pPr>
        <w:pBdr>
          <w:top w:val="nil"/>
          <w:left w:val="nil"/>
          <w:bottom w:val="nil"/>
          <w:right w:val="nil"/>
          <w:between w:val="nil"/>
        </w:pBdr>
        <w:ind w:left="360"/>
        <w:jc w:val="both"/>
        <w:rPr>
          <w:color w:val="000000"/>
        </w:rPr>
      </w:pPr>
    </w:p>
    <w:p w:rsidR="001A492D" w:rsidRDefault="001A492D">
      <w:pPr>
        <w:pBdr>
          <w:top w:val="nil"/>
          <w:left w:val="nil"/>
          <w:bottom w:val="nil"/>
          <w:right w:val="nil"/>
          <w:between w:val="nil"/>
        </w:pBdr>
        <w:ind w:left="360"/>
        <w:jc w:val="both"/>
        <w:rPr>
          <w:color w:val="000000"/>
        </w:rPr>
      </w:pPr>
    </w:p>
    <w:p w:rsidR="001A492D" w:rsidRDefault="001A492D">
      <w:pPr>
        <w:pBdr>
          <w:top w:val="nil"/>
          <w:left w:val="nil"/>
          <w:bottom w:val="nil"/>
          <w:right w:val="nil"/>
          <w:between w:val="nil"/>
        </w:pBdr>
        <w:ind w:left="360"/>
        <w:jc w:val="both"/>
        <w:rPr>
          <w:color w:val="000000"/>
        </w:rPr>
      </w:pPr>
    </w:p>
    <w:p w:rsidR="00BC6282" w:rsidRDefault="004532DF">
      <w:pPr>
        <w:pStyle w:val="Ttulo1"/>
        <w:numPr>
          <w:ilvl w:val="0"/>
          <w:numId w:val="3"/>
        </w:numPr>
        <w:rPr>
          <w:b/>
        </w:rPr>
      </w:pPr>
      <w:bookmarkStart w:id="3" w:name="_heading=h.3znysh7" w:colFirst="0" w:colLast="0"/>
      <w:bookmarkEnd w:id="3"/>
      <w:r>
        <w:rPr>
          <w:b/>
        </w:rPr>
        <w:lastRenderedPageBreak/>
        <w:t>OBJETIVO</w:t>
      </w:r>
    </w:p>
    <w:p w:rsidR="00BC6282" w:rsidRDefault="00BC6282">
      <w:pPr>
        <w:pBdr>
          <w:top w:val="nil"/>
          <w:left w:val="nil"/>
          <w:bottom w:val="nil"/>
          <w:right w:val="nil"/>
          <w:between w:val="nil"/>
        </w:pBdr>
        <w:jc w:val="both"/>
        <w:rPr>
          <w:color w:val="000000"/>
        </w:rPr>
      </w:pPr>
    </w:p>
    <w:p w:rsidR="00BC6282" w:rsidRDefault="004532DF">
      <w:pPr>
        <w:pBdr>
          <w:top w:val="nil"/>
          <w:left w:val="nil"/>
          <w:bottom w:val="nil"/>
          <w:right w:val="nil"/>
          <w:between w:val="nil"/>
        </w:pBdr>
        <w:ind w:left="360"/>
        <w:jc w:val="both"/>
        <w:rPr>
          <w:color w:val="000000"/>
        </w:rPr>
      </w:pPr>
      <w:r>
        <w:rPr>
          <w:color w:val="000000"/>
        </w:rPr>
        <w:t>Mantener la Implementaci</w:t>
      </w:r>
      <w:r>
        <w:rPr>
          <w:color w:val="000000"/>
        </w:rPr>
        <w:t>ón del Sistema de Gestión en Seguridad y Salud en el Trabajo en el INSOR, a través del mantenimiento y las estrategias para el cumplimento de los estándares mínimos, con el fin de controlar y reducir los accidentes de trabajo, enfermedades laborales y ause</w:t>
      </w:r>
      <w:r>
        <w:rPr>
          <w:color w:val="000000"/>
        </w:rPr>
        <w:t>ntismo que puedan afectar la salud en los colaboradores que laboran en función del INSOR.</w:t>
      </w:r>
    </w:p>
    <w:p w:rsidR="00BC6282" w:rsidRDefault="00BC6282">
      <w:pPr>
        <w:pBdr>
          <w:top w:val="nil"/>
          <w:left w:val="nil"/>
          <w:bottom w:val="nil"/>
          <w:right w:val="nil"/>
          <w:between w:val="nil"/>
        </w:pBdr>
        <w:jc w:val="both"/>
        <w:rPr>
          <w:color w:val="000000"/>
        </w:rPr>
      </w:pPr>
    </w:p>
    <w:p w:rsidR="00BC6282" w:rsidRDefault="004532DF">
      <w:pPr>
        <w:pStyle w:val="Ttulo1"/>
        <w:numPr>
          <w:ilvl w:val="0"/>
          <w:numId w:val="3"/>
        </w:numPr>
        <w:rPr>
          <w:b/>
        </w:rPr>
      </w:pPr>
      <w:bookmarkStart w:id="4" w:name="_heading=h.2et92p0" w:colFirst="0" w:colLast="0"/>
      <w:bookmarkEnd w:id="4"/>
      <w:r>
        <w:rPr>
          <w:b/>
        </w:rPr>
        <w:t>NORMATIVIDAD</w:t>
      </w:r>
    </w:p>
    <w:p w:rsidR="00BC6282" w:rsidRDefault="00BC6282">
      <w:pPr>
        <w:pBdr>
          <w:top w:val="nil"/>
          <w:left w:val="nil"/>
          <w:bottom w:val="nil"/>
          <w:right w:val="nil"/>
          <w:between w:val="nil"/>
        </w:pBdr>
        <w:ind w:left="360"/>
        <w:jc w:val="both"/>
        <w:rPr>
          <w:b/>
          <w:color w:val="000000"/>
        </w:rPr>
      </w:pPr>
    </w:p>
    <w:p w:rsidR="00BC6282" w:rsidRDefault="004532DF">
      <w:pPr>
        <w:numPr>
          <w:ilvl w:val="0"/>
          <w:numId w:val="4"/>
        </w:numPr>
        <w:pBdr>
          <w:top w:val="nil"/>
          <w:left w:val="nil"/>
          <w:bottom w:val="nil"/>
          <w:right w:val="nil"/>
          <w:between w:val="nil"/>
        </w:pBdr>
        <w:jc w:val="both"/>
        <w:rPr>
          <w:color w:val="000000"/>
        </w:rPr>
      </w:pPr>
      <w:r>
        <w:rPr>
          <w:b/>
          <w:color w:val="000000"/>
        </w:rPr>
        <w:t>Decreto Ley 1295 de 1994</w:t>
      </w:r>
      <w:r>
        <w:rPr>
          <w:color w:val="000000"/>
        </w:rPr>
        <w:t>: “Por el cual se determina la organización y administración del Sistema General de Riesgos Profesionales”.</w:t>
      </w:r>
    </w:p>
    <w:p w:rsidR="00BC6282" w:rsidRDefault="00BC6282">
      <w:pPr>
        <w:pBdr>
          <w:top w:val="nil"/>
          <w:left w:val="nil"/>
          <w:bottom w:val="nil"/>
          <w:right w:val="nil"/>
          <w:between w:val="nil"/>
        </w:pBdr>
        <w:ind w:left="360"/>
        <w:jc w:val="both"/>
        <w:rPr>
          <w:color w:val="000000"/>
        </w:rPr>
      </w:pPr>
    </w:p>
    <w:p w:rsidR="00BC6282" w:rsidRDefault="004532DF">
      <w:pPr>
        <w:numPr>
          <w:ilvl w:val="0"/>
          <w:numId w:val="4"/>
        </w:numPr>
        <w:pBdr>
          <w:top w:val="nil"/>
          <w:left w:val="nil"/>
          <w:bottom w:val="nil"/>
          <w:right w:val="nil"/>
          <w:between w:val="nil"/>
        </w:pBdr>
        <w:jc w:val="both"/>
        <w:rPr>
          <w:color w:val="000000"/>
        </w:rPr>
      </w:pPr>
      <w:r>
        <w:rPr>
          <w:b/>
          <w:color w:val="000000"/>
        </w:rPr>
        <w:t>Ley 1562 de 2012</w:t>
      </w:r>
      <w:r>
        <w:rPr>
          <w:color w:val="000000"/>
        </w:rPr>
        <w:t xml:space="preserve"> “Por la cual se modifica el sistema de riesgos laborales y se dictan otras disposiciones en materia de salud ocupacional.”</w:t>
      </w:r>
    </w:p>
    <w:p w:rsidR="00BC6282" w:rsidRDefault="004532DF">
      <w:pPr>
        <w:pBdr>
          <w:top w:val="nil"/>
          <w:left w:val="nil"/>
          <w:bottom w:val="nil"/>
          <w:right w:val="nil"/>
          <w:between w:val="nil"/>
        </w:pBdr>
        <w:ind w:left="360"/>
        <w:jc w:val="both"/>
        <w:rPr>
          <w:color w:val="000000"/>
        </w:rPr>
      </w:pPr>
      <w:r>
        <w:rPr>
          <w:color w:val="000000"/>
        </w:rPr>
        <w:t xml:space="preserve"> </w:t>
      </w:r>
    </w:p>
    <w:p w:rsidR="00BC6282" w:rsidRDefault="004532DF">
      <w:pPr>
        <w:numPr>
          <w:ilvl w:val="0"/>
          <w:numId w:val="4"/>
        </w:numPr>
        <w:pBdr>
          <w:top w:val="nil"/>
          <w:left w:val="nil"/>
          <w:bottom w:val="nil"/>
          <w:right w:val="nil"/>
          <w:between w:val="nil"/>
        </w:pBdr>
        <w:jc w:val="both"/>
        <w:rPr>
          <w:color w:val="000000"/>
        </w:rPr>
      </w:pPr>
      <w:r>
        <w:rPr>
          <w:b/>
          <w:color w:val="000000"/>
        </w:rPr>
        <w:t>Decreto 1072 de 2015</w:t>
      </w:r>
      <w:r>
        <w:rPr>
          <w:color w:val="000000"/>
        </w:rPr>
        <w:t xml:space="preserve">: “Por medio del cual se expide el Decreto Único Reglamentario del Sector Trabajo.” </w:t>
      </w:r>
    </w:p>
    <w:p w:rsidR="00BC6282" w:rsidRDefault="004532DF">
      <w:pPr>
        <w:numPr>
          <w:ilvl w:val="0"/>
          <w:numId w:val="4"/>
        </w:numPr>
        <w:pBdr>
          <w:top w:val="nil"/>
          <w:left w:val="nil"/>
          <w:bottom w:val="nil"/>
          <w:right w:val="nil"/>
          <w:between w:val="nil"/>
        </w:pBdr>
        <w:jc w:val="both"/>
        <w:rPr>
          <w:color w:val="000000"/>
        </w:rPr>
      </w:pPr>
      <w:r>
        <w:rPr>
          <w:b/>
          <w:color w:val="000000"/>
        </w:rPr>
        <w:t>Resolución 0312 de 2019</w:t>
      </w:r>
      <w:r>
        <w:rPr>
          <w:color w:val="000000"/>
        </w:rPr>
        <w:t xml:space="preserve"> “</w:t>
      </w:r>
      <w:r>
        <w:rPr>
          <w:color w:val="000000"/>
        </w:rPr>
        <w:t>Por la cual se definen los Estándares Mínimos del Sistema de Gestión de la Seguridad y Salud en el Trabajo SG-SST.” manejo de la pandemia emitida por el Ministerio de Salud y Protección Social.”</w:t>
      </w:r>
    </w:p>
    <w:p w:rsidR="00BC6282" w:rsidRDefault="004532DF">
      <w:pPr>
        <w:pStyle w:val="Ttulo1"/>
        <w:numPr>
          <w:ilvl w:val="0"/>
          <w:numId w:val="3"/>
        </w:numPr>
        <w:rPr>
          <w:b/>
        </w:rPr>
      </w:pPr>
      <w:bookmarkStart w:id="5" w:name="_heading=h.tyjcwt" w:colFirst="0" w:colLast="0"/>
      <w:bookmarkEnd w:id="5"/>
      <w:r>
        <w:rPr>
          <w:b/>
        </w:rPr>
        <w:t>POLÍTICA SISTEMA INTEGRADO</w:t>
      </w:r>
    </w:p>
    <w:p w:rsidR="00BC6282" w:rsidRDefault="00BC6282">
      <w:pPr>
        <w:jc w:val="both"/>
        <w:rPr>
          <w:b/>
        </w:rPr>
      </w:pPr>
    </w:p>
    <w:p w:rsidR="00BC6282" w:rsidRDefault="004532DF">
      <w:pPr>
        <w:widowControl/>
        <w:pBdr>
          <w:top w:val="nil"/>
          <w:left w:val="nil"/>
          <w:bottom w:val="nil"/>
          <w:right w:val="nil"/>
          <w:between w:val="nil"/>
        </w:pBdr>
        <w:jc w:val="both"/>
        <w:rPr>
          <w:color w:val="000000"/>
        </w:rPr>
      </w:pPr>
      <w:r>
        <w:rPr>
          <w:color w:val="000000"/>
        </w:rPr>
        <w:t>El Instituto Nacional para Sordos</w:t>
      </w:r>
      <w:r>
        <w:rPr>
          <w:color w:val="000000"/>
        </w:rPr>
        <w:t xml:space="preserve"> tiene como objeto promover, desde el sector educativo, el desarrollo e implementación de política pública para la inclusión social de la población sorda. En virtud de ello, se compromete a desarrollar su gestión con un enfoque de mejoramiento continuo, ga</w:t>
      </w:r>
      <w:r>
        <w:rPr>
          <w:color w:val="000000"/>
        </w:rPr>
        <w:t>rantizando permanentemente la satisfacción de sus grupos de valor y la eficacia de su sistema integrado de gestión, con cero accidentes, cero incidentes y cero enfermedades laborales. Igualmente, a fortalecer el desarrollo de su capital humano, a lograr re</w:t>
      </w:r>
      <w:r>
        <w:rPr>
          <w:color w:val="000000"/>
        </w:rPr>
        <w:t>laciones asertivas con sus proveedores, a optimizar el uso de sus recursos tecnológicos, a una adecuada administración, preservación y seguridad de sus activos de información y adoptar buenas prácticas para la protección del medio ambiente.</w:t>
      </w:r>
    </w:p>
    <w:p w:rsidR="00BC6282" w:rsidRDefault="00BC6282">
      <w:pPr>
        <w:widowControl/>
        <w:pBdr>
          <w:top w:val="nil"/>
          <w:left w:val="nil"/>
          <w:bottom w:val="nil"/>
          <w:right w:val="nil"/>
          <w:between w:val="nil"/>
        </w:pBdr>
        <w:jc w:val="both"/>
        <w:rPr>
          <w:color w:val="000000"/>
        </w:rPr>
      </w:pPr>
    </w:p>
    <w:p w:rsidR="00BC6282" w:rsidRDefault="004532DF">
      <w:pPr>
        <w:jc w:val="both"/>
      </w:pPr>
      <w:r>
        <w:t>Para dar cumplimiento a lo anterior, se establecen los siguientes objetivos:</w:t>
      </w:r>
    </w:p>
    <w:p w:rsidR="00BC6282" w:rsidRDefault="00BC6282">
      <w:pPr>
        <w:jc w:val="both"/>
      </w:pPr>
    </w:p>
    <w:p w:rsidR="00BC6282" w:rsidRDefault="004532DF">
      <w:pPr>
        <w:widowControl/>
        <w:numPr>
          <w:ilvl w:val="0"/>
          <w:numId w:val="2"/>
        </w:numPr>
        <w:pBdr>
          <w:top w:val="nil"/>
          <w:left w:val="nil"/>
          <w:bottom w:val="nil"/>
          <w:right w:val="nil"/>
          <w:between w:val="nil"/>
        </w:pBdr>
        <w:jc w:val="both"/>
        <w:rPr>
          <w:color w:val="000000"/>
        </w:rPr>
      </w:pPr>
      <w:r>
        <w:rPr>
          <w:color w:val="000000"/>
          <w:highlight w:val="white"/>
        </w:rPr>
        <w:lastRenderedPageBreak/>
        <w:t>Responsabilidad y compromiso de la gerencia en el liderazgo del sistema integrado de gestión, destinando los recursos económicos, físicos y la disposición del talento humano para</w:t>
      </w:r>
      <w:r>
        <w:rPr>
          <w:color w:val="000000"/>
          <w:highlight w:val="white"/>
        </w:rPr>
        <w:t xml:space="preserve"> el cumplimiento de los objetivos del sistema.</w:t>
      </w:r>
    </w:p>
    <w:p w:rsidR="00BC6282" w:rsidRDefault="00BC6282">
      <w:pPr>
        <w:jc w:val="both"/>
      </w:pPr>
    </w:p>
    <w:p w:rsidR="00BC6282" w:rsidRDefault="004532DF">
      <w:pPr>
        <w:widowControl/>
        <w:numPr>
          <w:ilvl w:val="0"/>
          <w:numId w:val="2"/>
        </w:numPr>
        <w:pBdr>
          <w:top w:val="nil"/>
          <w:left w:val="nil"/>
          <w:bottom w:val="nil"/>
          <w:right w:val="nil"/>
          <w:between w:val="nil"/>
        </w:pBdr>
        <w:jc w:val="both"/>
        <w:rPr>
          <w:color w:val="000000"/>
        </w:rPr>
      </w:pPr>
      <w:r>
        <w:rPr>
          <w:color w:val="000000"/>
        </w:rPr>
        <w:t xml:space="preserve">Revisar periódicamente el sistema de gestión integral, basados en la metodología de mejora continua. </w:t>
      </w:r>
    </w:p>
    <w:p w:rsidR="00BC6282" w:rsidRDefault="00BC6282">
      <w:pPr>
        <w:widowControl/>
        <w:pBdr>
          <w:top w:val="nil"/>
          <w:left w:val="nil"/>
          <w:bottom w:val="nil"/>
          <w:right w:val="nil"/>
          <w:between w:val="nil"/>
        </w:pBdr>
        <w:ind w:left="720"/>
        <w:jc w:val="both"/>
        <w:rPr>
          <w:color w:val="000000"/>
        </w:rPr>
      </w:pPr>
    </w:p>
    <w:p w:rsidR="00BC6282" w:rsidRDefault="004532DF">
      <w:pPr>
        <w:widowControl/>
        <w:numPr>
          <w:ilvl w:val="0"/>
          <w:numId w:val="2"/>
        </w:numPr>
        <w:pBdr>
          <w:top w:val="nil"/>
          <w:left w:val="nil"/>
          <w:bottom w:val="nil"/>
          <w:right w:val="nil"/>
          <w:between w:val="nil"/>
        </w:pBdr>
        <w:jc w:val="both"/>
        <w:rPr>
          <w:color w:val="000000"/>
        </w:rPr>
      </w:pPr>
      <w:r>
        <w:rPr>
          <w:color w:val="000000"/>
        </w:rPr>
        <w:t>Mantener una relación armónica y colaborativa con nuestros proveedores.</w:t>
      </w:r>
    </w:p>
    <w:p w:rsidR="00BC6282" w:rsidRDefault="00BC6282">
      <w:pPr>
        <w:widowControl/>
        <w:pBdr>
          <w:top w:val="nil"/>
          <w:left w:val="nil"/>
          <w:bottom w:val="nil"/>
          <w:right w:val="nil"/>
          <w:between w:val="nil"/>
        </w:pBdr>
        <w:ind w:left="720" w:firstLine="75"/>
        <w:jc w:val="both"/>
        <w:rPr>
          <w:color w:val="000000"/>
        </w:rPr>
      </w:pPr>
    </w:p>
    <w:p w:rsidR="00BC6282" w:rsidRDefault="004532DF">
      <w:pPr>
        <w:widowControl/>
        <w:numPr>
          <w:ilvl w:val="0"/>
          <w:numId w:val="2"/>
        </w:numPr>
        <w:pBdr>
          <w:top w:val="nil"/>
          <w:left w:val="nil"/>
          <w:bottom w:val="nil"/>
          <w:right w:val="nil"/>
          <w:between w:val="nil"/>
        </w:pBdr>
        <w:jc w:val="both"/>
        <w:rPr>
          <w:color w:val="000000"/>
        </w:rPr>
      </w:pPr>
      <w:r>
        <w:rPr>
          <w:color w:val="000000"/>
        </w:rPr>
        <w:t>Aumentar el grado de satisfacció</w:t>
      </w:r>
      <w:r>
        <w:rPr>
          <w:color w:val="000000"/>
        </w:rPr>
        <w:t>n de nuestros grupos de valor, a través de la óptima prestación de servicios.</w:t>
      </w:r>
    </w:p>
    <w:p w:rsidR="00BC6282" w:rsidRDefault="00BC6282">
      <w:pPr>
        <w:widowControl/>
        <w:pBdr>
          <w:top w:val="nil"/>
          <w:left w:val="nil"/>
          <w:bottom w:val="nil"/>
          <w:right w:val="nil"/>
          <w:between w:val="nil"/>
        </w:pBdr>
        <w:ind w:left="720"/>
        <w:jc w:val="both"/>
        <w:rPr>
          <w:color w:val="000000"/>
        </w:rPr>
      </w:pPr>
    </w:p>
    <w:p w:rsidR="00BC6282" w:rsidRDefault="004532DF">
      <w:pPr>
        <w:widowControl/>
        <w:numPr>
          <w:ilvl w:val="0"/>
          <w:numId w:val="2"/>
        </w:numPr>
        <w:pBdr>
          <w:top w:val="nil"/>
          <w:left w:val="nil"/>
          <w:bottom w:val="nil"/>
          <w:right w:val="nil"/>
          <w:between w:val="nil"/>
        </w:pBdr>
        <w:jc w:val="both"/>
        <w:rPr>
          <w:color w:val="000000"/>
        </w:rPr>
      </w:pPr>
      <w:r>
        <w:rPr>
          <w:color w:val="000000"/>
        </w:rPr>
        <w:t>Fomentar e incentivar espacios para la generación, producción, divulgación y apropiación del conocimiento institucional.</w:t>
      </w:r>
    </w:p>
    <w:p w:rsidR="00BC6282" w:rsidRDefault="00BC6282">
      <w:pPr>
        <w:widowControl/>
        <w:pBdr>
          <w:top w:val="nil"/>
          <w:left w:val="nil"/>
          <w:bottom w:val="nil"/>
          <w:right w:val="nil"/>
          <w:between w:val="nil"/>
        </w:pBdr>
        <w:ind w:left="720"/>
        <w:jc w:val="both"/>
        <w:rPr>
          <w:color w:val="000000"/>
        </w:rPr>
      </w:pPr>
    </w:p>
    <w:p w:rsidR="00BC6282" w:rsidRDefault="004532DF">
      <w:pPr>
        <w:widowControl/>
        <w:numPr>
          <w:ilvl w:val="0"/>
          <w:numId w:val="2"/>
        </w:numPr>
        <w:pBdr>
          <w:top w:val="nil"/>
          <w:left w:val="nil"/>
          <w:bottom w:val="nil"/>
          <w:right w:val="nil"/>
          <w:between w:val="nil"/>
        </w:pBdr>
        <w:jc w:val="both"/>
        <w:rPr>
          <w:color w:val="000000"/>
        </w:rPr>
      </w:pPr>
      <w:r>
        <w:rPr>
          <w:color w:val="000000"/>
        </w:rPr>
        <w:t>Administrar y conservar la documentación producida por la entidad, aplicando los instrumentos archivísticos incluidos en la normativa vigente.</w:t>
      </w:r>
    </w:p>
    <w:p w:rsidR="00BC6282" w:rsidRDefault="00BC6282">
      <w:pPr>
        <w:widowControl/>
        <w:pBdr>
          <w:top w:val="nil"/>
          <w:left w:val="nil"/>
          <w:bottom w:val="nil"/>
          <w:right w:val="nil"/>
          <w:between w:val="nil"/>
        </w:pBdr>
        <w:ind w:left="720"/>
        <w:jc w:val="both"/>
        <w:rPr>
          <w:color w:val="000000"/>
        </w:rPr>
      </w:pPr>
    </w:p>
    <w:p w:rsidR="00BC6282" w:rsidRDefault="004532DF">
      <w:pPr>
        <w:widowControl/>
        <w:numPr>
          <w:ilvl w:val="0"/>
          <w:numId w:val="2"/>
        </w:numPr>
        <w:pBdr>
          <w:top w:val="nil"/>
          <w:left w:val="nil"/>
          <w:bottom w:val="nil"/>
          <w:right w:val="nil"/>
          <w:between w:val="nil"/>
        </w:pBdr>
        <w:jc w:val="both"/>
        <w:rPr>
          <w:color w:val="000000"/>
        </w:rPr>
      </w:pPr>
      <w:r>
        <w:rPr>
          <w:color w:val="000000"/>
        </w:rPr>
        <w:t>Proteger los activos de la información, aplicando las medidas organizacionales técnicas, físicas y legales perti</w:t>
      </w:r>
      <w:r>
        <w:rPr>
          <w:color w:val="000000"/>
        </w:rPr>
        <w:t>nentes, mitigando los riesgos que afectan la confidencialidad, integridad y disponibilidad de la información.</w:t>
      </w:r>
    </w:p>
    <w:p w:rsidR="00BC6282" w:rsidRDefault="00BC6282">
      <w:pPr>
        <w:widowControl/>
        <w:pBdr>
          <w:top w:val="nil"/>
          <w:left w:val="nil"/>
          <w:bottom w:val="nil"/>
          <w:right w:val="nil"/>
          <w:between w:val="nil"/>
        </w:pBdr>
        <w:ind w:left="720"/>
        <w:jc w:val="both"/>
        <w:rPr>
          <w:color w:val="000000"/>
        </w:rPr>
      </w:pPr>
    </w:p>
    <w:p w:rsidR="00BC6282" w:rsidRDefault="004532DF">
      <w:pPr>
        <w:widowControl/>
        <w:numPr>
          <w:ilvl w:val="0"/>
          <w:numId w:val="2"/>
        </w:numPr>
        <w:pBdr>
          <w:top w:val="nil"/>
          <w:left w:val="nil"/>
          <w:bottom w:val="nil"/>
          <w:right w:val="nil"/>
          <w:between w:val="nil"/>
        </w:pBdr>
        <w:jc w:val="both"/>
        <w:rPr>
          <w:color w:val="000000"/>
        </w:rPr>
      </w:pPr>
      <w:r>
        <w:rPr>
          <w:color w:val="000000"/>
        </w:rPr>
        <w:t>Implementar buenas prácticas para la protección del medio ambiente y la prevención de la contaminación a través del uso sostenible de recursos na</w:t>
      </w:r>
      <w:r>
        <w:rPr>
          <w:color w:val="000000"/>
        </w:rPr>
        <w:t>turales y la gestión de residuos.</w:t>
      </w:r>
    </w:p>
    <w:p w:rsidR="00BC6282" w:rsidRDefault="00BC6282">
      <w:pPr>
        <w:widowControl/>
        <w:pBdr>
          <w:top w:val="nil"/>
          <w:left w:val="nil"/>
          <w:bottom w:val="nil"/>
          <w:right w:val="nil"/>
          <w:between w:val="nil"/>
        </w:pBdr>
        <w:ind w:left="720"/>
        <w:jc w:val="both"/>
        <w:rPr>
          <w:color w:val="000000"/>
        </w:rPr>
      </w:pPr>
    </w:p>
    <w:p w:rsidR="00BC6282" w:rsidRDefault="004532DF">
      <w:pPr>
        <w:widowControl/>
        <w:numPr>
          <w:ilvl w:val="0"/>
          <w:numId w:val="2"/>
        </w:numPr>
        <w:pBdr>
          <w:top w:val="nil"/>
          <w:left w:val="nil"/>
          <w:bottom w:val="nil"/>
          <w:right w:val="nil"/>
          <w:between w:val="nil"/>
        </w:pBdr>
        <w:jc w:val="both"/>
        <w:rPr>
          <w:color w:val="000000"/>
        </w:rPr>
      </w:pPr>
      <w:r>
        <w:rPr>
          <w:color w:val="000000"/>
        </w:rPr>
        <w:t>Establecer los lineamientos para contribuir a una gestión pública efectiva, eficiente y eficaz al reducir el uso del papel en la entidad, permitiendo tener un uso razonable y la utilización eficiente de los recursos tecno</w:t>
      </w:r>
      <w:r>
        <w:rPr>
          <w:color w:val="000000"/>
        </w:rPr>
        <w:t>lógicos; con el propósito de reducir el consumo a través de la implementación de estrategias de ahorro y campañas dirigidas a los colaboradores con el fin de incentivar y generar cultura de responsabilidad en el consumo de papel.</w:t>
      </w:r>
    </w:p>
    <w:p w:rsidR="00BC6282" w:rsidRDefault="00BC6282">
      <w:pPr>
        <w:widowControl/>
        <w:pBdr>
          <w:top w:val="nil"/>
          <w:left w:val="nil"/>
          <w:bottom w:val="nil"/>
          <w:right w:val="nil"/>
          <w:between w:val="nil"/>
        </w:pBdr>
        <w:ind w:left="720"/>
        <w:jc w:val="both"/>
        <w:rPr>
          <w:color w:val="000000"/>
        </w:rPr>
      </w:pPr>
    </w:p>
    <w:p w:rsidR="00BC6282" w:rsidRDefault="004532DF">
      <w:pPr>
        <w:widowControl/>
        <w:numPr>
          <w:ilvl w:val="0"/>
          <w:numId w:val="2"/>
        </w:numPr>
        <w:pBdr>
          <w:top w:val="nil"/>
          <w:left w:val="nil"/>
          <w:bottom w:val="nil"/>
          <w:right w:val="nil"/>
          <w:between w:val="nil"/>
        </w:pBdr>
        <w:jc w:val="both"/>
        <w:rPr>
          <w:color w:val="000000"/>
        </w:rPr>
      </w:pPr>
      <w:r>
        <w:rPr>
          <w:color w:val="000000"/>
        </w:rPr>
        <w:t>Identificar los peligros,</w:t>
      </w:r>
      <w:r>
        <w:rPr>
          <w:color w:val="000000"/>
        </w:rPr>
        <w:t xml:space="preserve"> evaluar y valorar los riesgos y establecer los respectivos controles en materia de SG-SST</w:t>
      </w:r>
    </w:p>
    <w:p w:rsidR="00BC6282" w:rsidRDefault="00BC6282">
      <w:pPr>
        <w:widowControl/>
        <w:pBdr>
          <w:top w:val="nil"/>
          <w:left w:val="nil"/>
          <w:bottom w:val="nil"/>
          <w:right w:val="nil"/>
          <w:between w:val="nil"/>
        </w:pBdr>
        <w:ind w:left="720"/>
        <w:jc w:val="both"/>
        <w:rPr>
          <w:color w:val="000000"/>
        </w:rPr>
      </w:pPr>
    </w:p>
    <w:p w:rsidR="00BC6282" w:rsidRDefault="004532DF">
      <w:pPr>
        <w:widowControl/>
        <w:numPr>
          <w:ilvl w:val="0"/>
          <w:numId w:val="2"/>
        </w:numPr>
        <w:pBdr>
          <w:top w:val="nil"/>
          <w:left w:val="nil"/>
          <w:bottom w:val="nil"/>
          <w:right w:val="nil"/>
          <w:between w:val="nil"/>
        </w:pBdr>
        <w:jc w:val="both"/>
        <w:rPr>
          <w:color w:val="000000"/>
        </w:rPr>
      </w:pPr>
      <w:r>
        <w:rPr>
          <w:color w:val="000000"/>
        </w:rPr>
        <w:t>Proteger la seguridad y salud de todos los servidores públicos, mediante la mejora continua del SG-SST en el INSOR.</w:t>
      </w:r>
    </w:p>
    <w:p w:rsidR="00BC6282" w:rsidRDefault="00BC6282">
      <w:pPr>
        <w:widowControl/>
        <w:pBdr>
          <w:top w:val="nil"/>
          <w:left w:val="nil"/>
          <w:bottom w:val="nil"/>
          <w:right w:val="nil"/>
          <w:between w:val="nil"/>
        </w:pBdr>
        <w:ind w:left="720"/>
        <w:jc w:val="both"/>
        <w:rPr>
          <w:color w:val="000000"/>
        </w:rPr>
      </w:pPr>
    </w:p>
    <w:p w:rsidR="00BC6282" w:rsidRDefault="004532DF">
      <w:pPr>
        <w:widowControl/>
        <w:numPr>
          <w:ilvl w:val="0"/>
          <w:numId w:val="2"/>
        </w:numPr>
        <w:pBdr>
          <w:top w:val="nil"/>
          <w:left w:val="nil"/>
          <w:bottom w:val="nil"/>
          <w:right w:val="nil"/>
          <w:between w:val="nil"/>
        </w:pBdr>
        <w:jc w:val="both"/>
        <w:rPr>
          <w:color w:val="000000"/>
        </w:rPr>
      </w:pPr>
      <w:r>
        <w:rPr>
          <w:color w:val="000000"/>
        </w:rPr>
        <w:t xml:space="preserve">Cumplir con la legislación nacional vigente aplicable en materia de riesgos laborales. </w:t>
      </w:r>
    </w:p>
    <w:p w:rsidR="00BC6282" w:rsidRDefault="00BC6282">
      <w:pPr>
        <w:widowControl/>
        <w:pBdr>
          <w:top w:val="nil"/>
          <w:left w:val="nil"/>
          <w:bottom w:val="nil"/>
          <w:right w:val="nil"/>
          <w:between w:val="nil"/>
        </w:pBdr>
        <w:ind w:left="720"/>
        <w:jc w:val="both"/>
        <w:rPr>
          <w:color w:val="000000"/>
        </w:rPr>
      </w:pPr>
    </w:p>
    <w:p w:rsidR="00BC6282" w:rsidRDefault="004532DF">
      <w:pPr>
        <w:widowControl/>
        <w:numPr>
          <w:ilvl w:val="0"/>
          <w:numId w:val="2"/>
        </w:numPr>
        <w:pBdr>
          <w:top w:val="nil"/>
          <w:left w:val="nil"/>
          <w:bottom w:val="nil"/>
          <w:right w:val="nil"/>
          <w:between w:val="nil"/>
        </w:pBdr>
        <w:jc w:val="both"/>
        <w:rPr>
          <w:color w:val="000000"/>
        </w:rPr>
      </w:pPr>
      <w:r>
        <w:rPr>
          <w:color w:val="000000"/>
        </w:rPr>
        <w:t>Implementar y mantener medidas tendientes para garantizar el no consumo de alcohol, tabaco y sustancias psicoactivas e ilegales.</w:t>
      </w:r>
    </w:p>
    <w:p w:rsidR="00BC6282" w:rsidRDefault="00BC6282">
      <w:pPr>
        <w:widowControl/>
        <w:pBdr>
          <w:top w:val="nil"/>
          <w:left w:val="nil"/>
          <w:bottom w:val="nil"/>
          <w:right w:val="nil"/>
          <w:between w:val="nil"/>
        </w:pBdr>
        <w:ind w:left="720"/>
        <w:jc w:val="both"/>
        <w:rPr>
          <w:color w:val="000000"/>
        </w:rPr>
      </w:pPr>
    </w:p>
    <w:p w:rsidR="00BC6282" w:rsidRDefault="004532DF">
      <w:pPr>
        <w:widowControl/>
        <w:numPr>
          <w:ilvl w:val="0"/>
          <w:numId w:val="2"/>
        </w:numPr>
        <w:pBdr>
          <w:top w:val="nil"/>
          <w:left w:val="nil"/>
          <w:bottom w:val="nil"/>
          <w:right w:val="nil"/>
          <w:between w:val="nil"/>
        </w:pBdr>
        <w:jc w:val="both"/>
        <w:rPr>
          <w:color w:val="000000"/>
        </w:rPr>
      </w:pPr>
      <w:r>
        <w:rPr>
          <w:color w:val="000000"/>
        </w:rPr>
        <w:t>Establecer mecanismos de prevención y manejo de las conductas de acoso laboral y acoso sexual, dando cumplimiento a la normatividad vigente.</w:t>
      </w:r>
    </w:p>
    <w:p w:rsidR="00BC6282" w:rsidRDefault="00BC6282">
      <w:pPr>
        <w:widowControl/>
        <w:pBdr>
          <w:top w:val="nil"/>
          <w:left w:val="nil"/>
          <w:bottom w:val="nil"/>
          <w:right w:val="nil"/>
          <w:between w:val="nil"/>
        </w:pBdr>
        <w:ind w:left="720"/>
        <w:jc w:val="both"/>
        <w:rPr>
          <w:color w:val="000000"/>
        </w:rPr>
      </w:pPr>
    </w:p>
    <w:p w:rsidR="00BC6282" w:rsidRDefault="004532DF">
      <w:pPr>
        <w:widowControl/>
        <w:numPr>
          <w:ilvl w:val="0"/>
          <w:numId w:val="2"/>
        </w:numPr>
        <w:pBdr>
          <w:top w:val="nil"/>
          <w:left w:val="nil"/>
          <w:bottom w:val="nil"/>
          <w:right w:val="nil"/>
          <w:between w:val="nil"/>
        </w:pBdr>
        <w:jc w:val="both"/>
        <w:rPr>
          <w:color w:val="000000"/>
        </w:rPr>
      </w:pPr>
      <w:r>
        <w:rPr>
          <w:color w:val="000000"/>
          <w:highlight w:val="white"/>
        </w:rPr>
        <w:t xml:space="preserve">Crear, regular y promover la desconexión laboral de los servidores públicos en las relaciones laborales dentro de </w:t>
      </w:r>
      <w:r>
        <w:rPr>
          <w:color w:val="000000"/>
          <w:highlight w:val="white"/>
        </w:rPr>
        <w:t>las diferentes modalidades de trabajo vigentes, con el fin de garantizar el goce efectivo del tiempo libre y los tiempos de descanso, licencias, permisos y/o vacaciones para conciliar la vida personal, familiar y laboral.</w:t>
      </w:r>
    </w:p>
    <w:p w:rsidR="00BC6282" w:rsidRDefault="00BC6282">
      <w:pPr>
        <w:widowControl/>
        <w:pBdr>
          <w:top w:val="nil"/>
          <w:left w:val="nil"/>
          <w:bottom w:val="nil"/>
          <w:right w:val="nil"/>
          <w:between w:val="nil"/>
        </w:pBdr>
        <w:ind w:left="720"/>
        <w:jc w:val="both"/>
        <w:rPr>
          <w:color w:val="000000"/>
        </w:rPr>
      </w:pPr>
    </w:p>
    <w:p w:rsidR="00BC6282" w:rsidRDefault="004532DF">
      <w:pPr>
        <w:widowControl/>
        <w:numPr>
          <w:ilvl w:val="0"/>
          <w:numId w:val="2"/>
        </w:numPr>
        <w:pBdr>
          <w:top w:val="nil"/>
          <w:left w:val="nil"/>
          <w:bottom w:val="nil"/>
          <w:right w:val="nil"/>
          <w:between w:val="nil"/>
        </w:pBdr>
        <w:shd w:val="clear" w:color="auto" w:fill="FFFFFF"/>
        <w:jc w:val="both"/>
        <w:rPr>
          <w:color w:val="000000"/>
        </w:rPr>
      </w:pPr>
      <w:r>
        <w:rPr>
          <w:color w:val="000000"/>
        </w:rPr>
        <w:t>Orientar nuestra atención a las p</w:t>
      </w:r>
      <w:r>
        <w:rPr>
          <w:color w:val="000000"/>
        </w:rPr>
        <w:t>artes interesadas bajo principios de legalidad, transparencia, buen gobierno y lucha contra la corrupción. </w:t>
      </w:r>
    </w:p>
    <w:p w:rsidR="00BC6282" w:rsidRDefault="00BC6282">
      <w:pPr>
        <w:jc w:val="both"/>
      </w:pPr>
    </w:p>
    <w:p w:rsidR="00BC6282" w:rsidRDefault="004532DF">
      <w:pPr>
        <w:widowControl/>
        <w:pBdr>
          <w:top w:val="nil"/>
          <w:left w:val="nil"/>
          <w:bottom w:val="nil"/>
          <w:right w:val="nil"/>
          <w:between w:val="nil"/>
        </w:pBdr>
        <w:jc w:val="both"/>
        <w:rPr>
          <w:color w:val="000000"/>
        </w:rPr>
      </w:pPr>
      <w:r>
        <w:rPr>
          <w:color w:val="000000"/>
        </w:rPr>
        <w:t>En concordancia con los compromisos mencionados, el INSOR destinará los recursos que tenga disponibles para incentivar el cumplimiento de cada uno de estos propósitos y objetivos, los cuales están orientado al incremento de la eficiencia, eficacia y efecti</w:t>
      </w:r>
      <w:r>
        <w:rPr>
          <w:color w:val="000000"/>
        </w:rPr>
        <w:t>vidad de su desempeño institucional, dando cumplimiento a los requisitos legales y organizacionales que rigen el Sistema de Gestión adoptado por la entidad.</w:t>
      </w:r>
    </w:p>
    <w:p w:rsidR="00BC6282" w:rsidRDefault="004532DF">
      <w:pPr>
        <w:pStyle w:val="Ttulo1"/>
        <w:numPr>
          <w:ilvl w:val="0"/>
          <w:numId w:val="3"/>
        </w:numPr>
        <w:rPr>
          <w:b/>
        </w:rPr>
      </w:pPr>
      <w:bookmarkStart w:id="6" w:name="_heading=h.3dy6vkm" w:colFirst="0" w:colLast="0"/>
      <w:bookmarkEnd w:id="6"/>
      <w:r>
        <w:rPr>
          <w:b/>
        </w:rPr>
        <w:t>ESTRUCTURACIÓN DEL PLAN DE TRABAJO DEL SISTEMA DE GESTIÓN DE SEGURIDAD Y SALUD EN EL TRABAJO</w:t>
      </w:r>
    </w:p>
    <w:p w:rsidR="00BC6282" w:rsidRDefault="00BC6282">
      <w:pPr>
        <w:widowControl/>
        <w:pBdr>
          <w:top w:val="nil"/>
          <w:left w:val="nil"/>
          <w:bottom w:val="nil"/>
          <w:right w:val="nil"/>
          <w:between w:val="nil"/>
        </w:pBdr>
        <w:jc w:val="both"/>
        <w:rPr>
          <w:color w:val="000000"/>
        </w:rPr>
      </w:pPr>
    </w:p>
    <w:p w:rsidR="00BC6282" w:rsidRDefault="004532DF">
      <w:pPr>
        <w:widowControl/>
        <w:pBdr>
          <w:top w:val="nil"/>
          <w:left w:val="nil"/>
          <w:bottom w:val="nil"/>
          <w:right w:val="nil"/>
          <w:between w:val="nil"/>
        </w:pBdr>
        <w:jc w:val="both"/>
        <w:rPr>
          <w:b/>
          <w:color w:val="000000"/>
        </w:rPr>
      </w:pPr>
      <w:r>
        <w:rPr>
          <w:color w:val="000000"/>
        </w:rPr>
        <w:t>Las a</w:t>
      </w:r>
      <w:r>
        <w:rPr>
          <w:color w:val="000000"/>
        </w:rPr>
        <w:t xml:space="preserve">ctividades contempladas en el plan de trabajo de Seguridad y Salud en el Trabajo se encuentran establecidas a través del ciclo PHVA que permite mantener una mejora continua, e incluye aspectos tales como: política, organización, planificación, aplicación, </w:t>
      </w:r>
      <w:r>
        <w:rPr>
          <w:color w:val="000000"/>
        </w:rPr>
        <w:t>evaluación, auditoría y acciones de mejora con el objetivo de anticipar, reconocer, valorar y controlar los riesgos que puedan afectar la seguridad y la salud de los funcionarios, contratistas, pasantes y visitantes de la entidad, en cumplimiento de los es</w:t>
      </w:r>
      <w:r>
        <w:rPr>
          <w:color w:val="000000"/>
        </w:rPr>
        <w:t>tándares mínimos.</w:t>
      </w:r>
    </w:p>
    <w:p w:rsidR="00BC6282" w:rsidRDefault="004532DF">
      <w:pPr>
        <w:pStyle w:val="Ttulo1"/>
        <w:numPr>
          <w:ilvl w:val="0"/>
          <w:numId w:val="3"/>
        </w:numPr>
        <w:rPr>
          <w:b/>
        </w:rPr>
      </w:pPr>
      <w:bookmarkStart w:id="7" w:name="_heading=h.1t3h5sf" w:colFirst="0" w:colLast="0"/>
      <w:bookmarkEnd w:id="7"/>
      <w:r>
        <w:rPr>
          <w:b/>
        </w:rPr>
        <w:t>RECURSOS</w:t>
      </w:r>
    </w:p>
    <w:p w:rsidR="00BC6282" w:rsidRDefault="00BC6282">
      <w:pPr>
        <w:jc w:val="both"/>
      </w:pPr>
    </w:p>
    <w:p w:rsidR="00BC6282" w:rsidRDefault="004532DF">
      <w:pPr>
        <w:jc w:val="both"/>
      </w:pPr>
      <w:r>
        <w:t>Se estableció la necesidad de los recursos financieros, técnicos y de personal, necesarios para el diseño, implementación, revisión evaluación y mejora de las medidas de prevención y control, para la gestión eficaz de los peligr</w:t>
      </w:r>
      <w:r>
        <w:t>os y riesgos en el lugar de trabajo, con el fin de que los responsables de la Seguridad y Salud en el Trabajo en la Entidad, el Comité Paritario de Seguridad y Salud en el Trabajo y el comité de Convivencia Laboral y la brigada de emergencia puedan cumplir</w:t>
      </w:r>
      <w:r>
        <w:t xml:space="preserve"> de manera satisfactoria con sus funciones. </w:t>
      </w:r>
    </w:p>
    <w:p w:rsidR="00BC6282" w:rsidRDefault="004532DF">
      <w:pPr>
        <w:pStyle w:val="Ttulo1"/>
        <w:numPr>
          <w:ilvl w:val="1"/>
          <w:numId w:val="3"/>
        </w:numPr>
        <w:rPr>
          <w:rFonts w:ascii="Verdana" w:eastAsia="Verdana" w:hAnsi="Verdana" w:cs="Verdana"/>
          <w:b/>
        </w:rPr>
      </w:pPr>
      <w:bookmarkStart w:id="8" w:name="_heading=h.4d34og8" w:colFirst="0" w:colLast="0"/>
      <w:bookmarkEnd w:id="8"/>
      <w:r>
        <w:rPr>
          <w:b/>
        </w:rPr>
        <w:lastRenderedPageBreak/>
        <w:t>Recurso H</w:t>
      </w:r>
      <w:r>
        <w:rPr>
          <w:rFonts w:ascii="Calibri" w:eastAsia="Calibri" w:hAnsi="Calibri" w:cs="Calibri"/>
          <w:b/>
          <w:color w:val="2F5496"/>
        </w:rPr>
        <w:t>uman</w:t>
      </w:r>
      <w:r>
        <w:rPr>
          <w:b/>
        </w:rPr>
        <w:t>o</w:t>
      </w:r>
    </w:p>
    <w:p w:rsidR="00BC6282" w:rsidRDefault="00BC6282">
      <w:pPr>
        <w:widowControl/>
        <w:pBdr>
          <w:top w:val="nil"/>
          <w:left w:val="nil"/>
          <w:bottom w:val="nil"/>
          <w:right w:val="nil"/>
          <w:between w:val="nil"/>
        </w:pBdr>
        <w:tabs>
          <w:tab w:val="left" w:pos="3119"/>
          <w:tab w:val="left" w:pos="3261"/>
        </w:tabs>
        <w:ind w:left="360"/>
        <w:jc w:val="both"/>
        <w:rPr>
          <w:b/>
          <w:color w:val="000000"/>
        </w:rPr>
      </w:pPr>
    </w:p>
    <w:p w:rsidR="00BC6282" w:rsidRDefault="004532DF">
      <w:pPr>
        <w:tabs>
          <w:tab w:val="left" w:pos="3119"/>
          <w:tab w:val="left" w:pos="3261"/>
        </w:tabs>
        <w:jc w:val="both"/>
        <w:rPr>
          <w:b/>
        </w:rPr>
      </w:pPr>
      <w:r>
        <w:t>Contemplan aspectos de implementación, documentación, investigación de accidentes y enfermedades laborales, inspección a lugares y puestos de trabajo, capacitación en temas de SST y las demás fun</w:t>
      </w:r>
      <w:r>
        <w:t>ciones directas en la Gestión del Sistema de Seguridad y Salud en el Trabajo.</w:t>
      </w:r>
    </w:p>
    <w:p w:rsidR="00BC6282" w:rsidRDefault="00BC6282">
      <w:pPr>
        <w:ind w:left="360"/>
        <w:jc w:val="both"/>
        <w:rPr>
          <w:b/>
        </w:rPr>
      </w:pPr>
    </w:p>
    <w:p w:rsidR="00BC6282" w:rsidRDefault="004532DF">
      <w:pPr>
        <w:widowControl/>
        <w:numPr>
          <w:ilvl w:val="0"/>
          <w:numId w:val="5"/>
        </w:numPr>
        <w:pBdr>
          <w:top w:val="nil"/>
          <w:left w:val="nil"/>
          <w:bottom w:val="nil"/>
          <w:right w:val="nil"/>
          <w:between w:val="nil"/>
        </w:pBdr>
        <w:jc w:val="both"/>
        <w:rPr>
          <w:b/>
          <w:color w:val="000000"/>
        </w:rPr>
      </w:pPr>
      <w:r>
        <w:rPr>
          <w:color w:val="000000"/>
        </w:rPr>
        <w:t xml:space="preserve">Grupo de Gestión de Talento Humano - Seguridad y Salud en el Trabajo. </w:t>
      </w:r>
    </w:p>
    <w:p w:rsidR="00BC6282" w:rsidRDefault="004532DF">
      <w:pPr>
        <w:widowControl/>
        <w:numPr>
          <w:ilvl w:val="0"/>
          <w:numId w:val="5"/>
        </w:numPr>
        <w:pBdr>
          <w:top w:val="nil"/>
          <w:left w:val="nil"/>
          <w:bottom w:val="nil"/>
          <w:right w:val="nil"/>
          <w:between w:val="nil"/>
        </w:pBdr>
        <w:jc w:val="both"/>
        <w:rPr>
          <w:b/>
          <w:color w:val="000000"/>
        </w:rPr>
      </w:pPr>
      <w:r>
        <w:rPr>
          <w:color w:val="000000"/>
        </w:rPr>
        <w:t>Miembros del COPASST.</w:t>
      </w:r>
    </w:p>
    <w:p w:rsidR="00BC6282" w:rsidRDefault="004532DF">
      <w:pPr>
        <w:widowControl/>
        <w:numPr>
          <w:ilvl w:val="0"/>
          <w:numId w:val="5"/>
        </w:numPr>
        <w:pBdr>
          <w:top w:val="nil"/>
          <w:left w:val="nil"/>
          <w:bottom w:val="nil"/>
          <w:right w:val="nil"/>
          <w:between w:val="nil"/>
        </w:pBdr>
        <w:jc w:val="both"/>
        <w:rPr>
          <w:b/>
          <w:color w:val="000000"/>
        </w:rPr>
      </w:pPr>
      <w:r>
        <w:rPr>
          <w:color w:val="000000"/>
        </w:rPr>
        <w:t xml:space="preserve">Miembros del Comité de Convivencia Laboral. </w:t>
      </w:r>
    </w:p>
    <w:p w:rsidR="00BC6282" w:rsidRDefault="004532DF">
      <w:pPr>
        <w:widowControl/>
        <w:numPr>
          <w:ilvl w:val="0"/>
          <w:numId w:val="5"/>
        </w:numPr>
        <w:pBdr>
          <w:top w:val="nil"/>
          <w:left w:val="nil"/>
          <w:bottom w:val="nil"/>
          <w:right w:val="nil"/>
          <w:between w:val="nil"/>
        </w:pBdr>
        <w:jc w:val="both"/>
        <w:rPr>
          <w:b/>
          <w:color w:val="000000"/>
        </w:rPr>
      </w:pPr>
      <w:r>
        <w:rPr>
          <w:color w:val="000000"/>
        </w:rPr>
        <w:t xml:space="preserve">Miembros de la Brigada de emergencia. </w:t>
      </w:r>
    </w:p>
    <w:p w:rsidR="00BC6282" w:rsidRDefault="004532DF">
      <w:pPr>
        <w:widowControl/>
        <w:numPr>
          <w:ilvl w:val="0"/>
          <w:numId w:val="5"/>
        </w:numPr>
        <w:pBdr>
          <w:top w:val="nil"/>
          <w:left w:val="nil"/>
          <w:bottom w:val="nil"/>
          <w:right w:val="nil"/>
          <w:between w:val="nil"/>
        </w:pBdr>
        <w:jc w:val="both"/>
        <w:rPr>
          <w:b/>
          <w:color w:val="000000"/>
        </w:rPr>
      </w:pPr>
      <w:r>
        <w:rPr>
          <w:color w:val="000000"/>
        </w:rPr>
        <w:t xml:space="preserve">Administradora de Riesgos Laborales (ARL). </w:t>
      </w:r>
    </w:p>
    <w:p w:rsidR="00BC6282" w:rsidRDefault="00BC6282">
      <w:pPr>
        <w:ind w:left="1125"/>
        <w:jc w:val="both"/>
        <w:rPr>
          <w:b/>
        </w:rPr>
      </w:pPr>
    </w:p>
    <w:p w:rsidR="00BC6282" w:rsidRDefault="004532DF">
      <w:pPr>
        <w:pStyle w:val="Ttulo1"/>
        <w:numPr>
          <w:ilvl w:val="1"/>
          <w:numId w:val="3"/>
        </w:numPr>
        <w:rPr>
          <w:b/>
        </w:rPr>
      </w:pPr>
      <w:bookmarkStart w:id="9" w:name="_heading=h.2s8eyo1" w:colFirst="0" w:colLast="0"/>
      <w:bookmarkEnd w:id="9"/>
      <w:r>
        <w:rPr>
          <w:b/>
        </w:rPr>
        <w:t>Recurso Técnico</w:t>
      </w:r>
    </w:p>
    <w:p w:rsidR="00BC6282" w:rsidRDefault="00BC6282">
      <w:pPr>
        <w:widowControl/>
        <w:pBdr>
          <w:top w:val="nil"/>
          <w:left w:val="nil"/>
          <w:bottom w:val="nil"/>
          <w:right w:val="nil"/>
          <w:between w:val="nil"/>
        </w:pBdr>
        <w:ind w:left="720"/>
        <w:jc w:val="both"/>
        <w:rPr>
          <w:b/>
          <w:color w:val="000000"/>
        </w:rPr>
      </w:pPr>
    </w:p>
    <w:p w:rsidR="00BC6282" w:rsidRDefault="004532DF">
      <w:pPr>
        <w:tabs>
          <w:tab w:val="left" w:pos="3119"/>
          <w:tab w:val="left" w:pos="3261"/>
        </w:tabs>
        <w:jc w:val="both"/>
      </w:pPr>
      <w:r>
        <w:t xml:space="preserve">Contemplan aspectos de inversión en equipos utilizados y su mantenimiento, en el marco de la implementación y desarrollo del Sistema de Gestión de la Seguridad y Salud en el Trabajo. </w:t>
      </w:r>
    </w:p>
    <w:p w:rsidR="00BC6282" w:rsidRDefault="00BC6282">
      <w:pPr>
        <w:widowControl/>
        <w:pBdr>
          <w:top w:val="nil"/>
          <w:left w:val="nil"/>
          <w:bottom w:val="nil"/>
          <w:right w:val="nil"/>
          <w:between w:val="nil"/>
        </w:pBdr>
        <w:ind w:left="720"/>
        <w:jc w:val="both"/>
        <w:rPr>
          <w:b/>
          <w:color w:val="000000"/>
        </w:rPr>
      </w:pPr>
    </w:p>
    <w:p w:rsidR="00BC6282" w:rsidRDefault="004532DF">
      <w:pPr>
        <w:pStyle w:val="Ttulo1"/>
        <w:numPr>
          <w:ilvl w:val="1"/>
          <w:numId w:val="3"/>
        </w:numPr>
        <w:rPr>
          <w:b/>
        </w:rPr>
      </w:pPr>
      <w:bookmarkStart w:id="10" w:name="_heading=h.17dp8vu" w:colFirst="0" w:colLast="0"/>
      <w:bookmarkEnd w:id="10"/>
      <w:r>
        <w:rPr>
          <w:b/>
        </w:rPr>
        <w:t>Recurso F</w:t>
      </w:r>
      <w:r>
        <w:rPr>
          <w:b/>
        </w:rPr>
        <w:t>inanciero</w:t>
      </w:r>
    </w:p>
    <w:p w:rsidR="00BC6282" w:rsidRDefault="00BC6282">
      <w:pPr>
        <w:jc w:val="both"/>
        <w:rPr>
          <w:b/>
        </w:rPr>
      </w:pPr>
    </w:p>
    <w:p w:rsidR="00BC6282" w:rsidRDefault="004532DF">
      <w:pPr>
        <w:jc w:val="both"/>
        <w:rPr>
          <w:b/>
        </w:rPr>
      </w:pPr>
      <w:r>
        <w:t>Contempla las inversiones económicas en los aspectos anteriores y otros que la entidad identifica para el desarrollo del Sistema de Gestión de la Seguridad y Salud en el Trabajo, estos recursos se encuentran identificado en el plan anual de adquisiciones d</w:t>
      </w:r>
      <w:r>
        <w:t>e la entidad.</w:t>
      </w:r>
    </w:p>
    <w:p w:rsidR="00BC6282" w:rsidRDefault="004532DF">
      <w:pPr>
        <w:pStyle w:val="Ttulo1"/>
        <w:numPr>
          <w:ilvl w:val="0"/>
          <w:numId w:val="3"/>
        </w:numPr>
        <w:rPr>
          <w:b/>
        </w:rPr>
      </w:pPr>
      <w:bookmarkStart w:id="11" w:name="_heading=h.3rdcrjn" w:colFirst="0" w:colLast="0"/>
      <w:bookmarkEnd w:id="11"/>
      <w:r>
        <w:rPr>
          <w:b/>
        </w:rPr>
        <w:t>EVALUACIÓN Y DIAGNÓSTICO</w:t>
      </w:r>
    </w:p>
    <w:p w:rsidR="00BC6282" w:rsidRDefault="00BC6282">
      <w:pPr>
        <w:jc w:val="both"/>
      </w:pPr>
    </w:p>
    <w:p w:rsidR="00BC6282" w:rsidRDefault="004532DF">
      <w:pPr>
        <w:jc w:val="both"/>
      </w:pPr>
      <w:r>
        <w:t>Resultados autoevaluación estándares mínimos 2022. De conformidad con el artículo 16 de la Resolución 0312 de 2019 expedida por el Ministerio de Trabajo, establece los estándares mínimos para implementar el Sistema de Gestión de Seguridad y Salud en el Tra</w:t>
      </w:r>
      <w:r>
        <w:t xml:space="preserve">bajo (SG-SST). </w:t>
      </w:r>
    </w:p>
    <w:p w:rsidR="00BC6282" w:rsidRDefault="00BC6282">
      <w:pPr>
        <w:jc w:val="both"/>
      </w:pPr>
    </w:p>
    <w:p w:rsidR="00BC6282" w:rsidRDefault="004532DF">
      <w:pPr>
        <w:jc w:val="both"/>
      </w:pPr>
      <w:r>
        <w:t>Los estándares mínimos, de acuerdo a esta resolución, son: “Conjunto de normas, requisitos y procedimientos de obligatorio cumplimiento, mediante los cuales se establece, registra, verifica y controla el cumplimiento de las condiciones bás</w:t>
      </w:r>
      <w:r>
        <w:t xml:space="preserve">icas de capacidad tecnológica y científica; de suficiencia patrimonial y financiera; y de capacidad técnico administrativa, indispensables </w:t>
      </w:r>
      <w:r>
        <w:lastRenderedPageBreak/>
        <w:t>para el funcionamiento, ejercicio y desarrollo de actividades de los empleadores y contratantes en el Sistema General</w:t>
      </w:r>
      <w:r>
        <w:t xml:space="preserve"> de Riesgos Laborales”.</w:t>
      </w:r>
    </w:p>
    <w:p w:rsidR="00BC6282" w:rsidRDefault="00BC6282">
      <w:pPr>
        <w:jc w:val="both"/>
        <w:rPr>
          <w:b/>
        </w:rPr>
      </w:pPr>
    </w:p>
    <w:p w:rsidR="00BC6282" w:rsidRDefault="004532DF">
      <w:pPr>
        <w:jc w:val="both"/>
      </w:pPr>
      <w:r>
        <w:t>Para la vigencia 2022 la entidad cumplió con el 100% de los estándares mínimos del SG-SST, dónde se mantuvieron las actividades obligatorias, para el fortalecimiento del sistema, la necesidad de mejorar los procesos de Gestión Inte</w:t>
      </w:r>
      <w:r>
        <w:t>gral del Sistema de Gestión de Seguridad y Salud en el Trabajo, la Gestión de Peligros y Riesgos, el proceso de Verificación del Sistema de Gestión de Seguridad y Salud en el Trabajo y Mejoramiento del mismo.</w:t>
      </w:r>
    </w:p>
    <w:p w:rsidR="00BC6282" w:rsidRDefault="004532DF">
      <w:pPr>
        <w:pStyle w:val="Ttulo1"/>
        <w:numPr>
          <w:ilvl w:val="1"/>
          <w:numId w:val="3"/>
        </w:numPr>
        <w:rPr>
          <w:b/>
        </w:rPr>
      </w:pPr>
      <w:bookmarkStart w:id="12" w:name="_heading=h.26in1rg" w:colFirst="0" w:colLast="0"/>
      <w:bookmarkEnd w:id="12"/>
      <w:r>
        <w:rPr>
          <w:b/>
        </w:rPr>
        <w:t>Seguimiento y Evaluación</w:t>
      </w:r>
    </w:p>
    <w:p w:rsidR="00BC6282" w:rsidRDefault="00BC6282">
      <w:pPr>
        <w:jc w:val="both"/>
      </w:pPr>
    </w:p>
    <w:p w:rsidR="00BC6282" w:rsidRDefault="004532DF">
      <w:pPr>
        <w:jc w:val="both"/>
      </w:pPr>
      <w:r>
        <w:t>Para la vigencia 2023</w:t>
      </w:r>
      <w:r>
        <w:t xml:space="preserve"> el INSOR realizará una auditoría interna al cumplimiento del Sistema de Gestión de la Seguridad y Salud en el Trabajo, avances, indicadores y COPASST, de acuerdo con lo establecido en el Decreto 1072 de 2015, se debe realizar una auditoría anual, la cual </w:t>
      </w:r>
      <w:r>
        <w:t xml:space="preserve">será planificada con la participación del Comité Paritario de Seguridad y Salud en el Trabajo, donde se establece un procedimiento para determinar lo siguiente: </w:t>
      </w:r>
    </w:p>
    <w:p w:rsidR="00BC6282" w:rsidRDefault="00BC6282">
      <w:pPr>
        <w:jc w:val="both"/>
      </w:pPr>
    </w:p>
    <w:p w:rsidR="00BC6282" w:rsidRDefault="004532DF">
      <w:pPr>
        <w:widowControl/>
        <w:numPr>
          <w:ilvl w:val="1"/>
          <w:numId w:val="1"/>
        </w:numPr>
        <w:pBdr>
          <w:top w:val="nil"/>
          <w:left w:val="nil"/>
          <w:bottom w:val="nil"/>
          <w:right w:val="nil"/>
          <w:between w:val="nil"/>
        </w:pBdr>
        <w:jc w:val="both"/>
        <w:rPr>
          <w:color w:val="000000"/>
        </w:rPr>
      </w:pPr>
      <w:r>
        <w:rPr>
          <w:color w:val="000000"/>
        </w:rPr>
        <w:t xml:space="preserve">Las responsabilidades, competencias y requisitos para planificar y conducir </w:t>
      </w:r>
      <w:r>
        <w:t>auditoría</w:t>
      </w:r>
      <w:r>
        <w:rPr>
          <w:color w:val="000000"/>
        </w:rPr>
        <w:t>, inform</w:t>
      </w:r>
      <w:r>
        <w:rPr>
          <w:color w:val="000000"/>
        </w:rPr>
        <w:t>ando resultados y reteniendo los registros asociados.</w:t>
      </w:r>
    </w:p>
    <w:p w:rsidR="00BC6282" w:rsidRDefault="004532DF">
      <w:pPr>
        <w:widowControl/>
        <w:numPr>
          <w:ilvl w:val="1"/>
          <w:numId w:val="1"/>
        </w:numPr>
        <w:pBdr>
          <w:top w:val="nil"/>
          <w:left w:val="nil"/>
          <w:bottom w:val="nil"/>
          <w:right w:val="nil"/>
          <w:between w:val="nil"/>
        </w:pBdr>
        <w:jc w:val="both"/>
        <w:rPr>
          <w:color w:val="000000"/>
        </w:rPr>
      </w:pPr>
      <w:r>
        <w:rPr>
          <w:color w:val="000000"/>
        </w:rPr>
        <w:t xml:space="preserve">La determinación de criterios de auditoría, alcance, frecuencia y métodos. </w:t>
      </w:r>
    </w:p>
    <w:p w:rsidR="00BC6282" w:rsidRDefault="004532DF">
      <w:pPr>
        <w:widowControl/>
        <w:numPr>
          <w:ilvl w:val="1"/>
          <w:numId w:val="1"/>
        </w:numPr>
        <w:pBdr>
          <w:top w:val="nil"/>
          <w:left w:val="nil"/>
          <w:bottom w:val="nil"/>
          <w:right w:val="nil"/>
          <w:between w:val="nil"/>
        </w:pBdr>
        <w:jc w:val="both"/>
        <w:rPr>
          <w:color w:val="000000"/>
        </w:rPr>
      </w:pPr>
      <w:r>
        <w:rPr>
          <w:color w:val="000000"/>
        </w:rPr>
        <w:t>La selección de auditor y la conducción de las auditorias aseguran la objetividad y la imparcialidad en el proceso de auditorí</w:t>
      </w:r>
      <w:r>
        <w:rPr>
          <w:color w:val="000000"/>
        </w:rPr>
        <w:t>a.</w:t>
      </w:r>
    </w:p>
    <w:p w:rsidR="00BC6282" w:rsidRDefault="00BC6282">
      <w:pPr>
        <w:jc w:val="both"/>
      </w:pPr>
    </w:p>
    <w:p w:rsidR="00BC6282" w:rsidRDefault="004532DF">
      <w:pPr>
        <w:jc w:val="both"/>
      </w:pPr>
      <w:r>
        <w:t>Por otra parte, la Alta Dirección revisará de manera anual las gestiones adelantadas por los responsables del Sistema de Gestión de la Seguridad y Salud en el Trabajo y comunicará al COPASST los avances y las sugerencias que en materia de Seguridad y S</w:t>
      </w:r>
      <w:r>
        <w:t>alud sean necesarias para el funcionamiento del Sistema el cual se plantean las actividades para una mejora continua.</w:t>
      </w:r>
    </w:p>
    <w:p w:rsidR="00BC6282" w:rsidRDefault="00BC6282">
      <w:pPr>
        <w:jc w:val="both"/>
        <w:rPr>
          <w:b/>
          <w:sz w:val="16"/>
          <w:szCs w:val="16"/>
        </w:rPr>
      </w:pPr>
      <w:bookmarkStart w:id="13" w:name="_GoBack"/>
      <w:bookmarkEnd w:id="13"/>
    </w:p>
    <w:p w:rsidR="00BC6282" w:rsidRDefault="00BC6282">
      <w:pPr>
        <w:jc w:val="both"/>
        <w:rPr>
          <w:b/>
          <w:sz w:val="16"/>
          <w:szCs w:val="16"/>
        </w:rPr>
      </w:pPr>
    </w:p>
    <w:p w:rsidR="00BC6282" w:rsidRDefault="00BC6282">
      <w:pPr>
        <w:jc w:val="both"/>
        <w:rPr>
          <w:b/>
          <w:sz w:val="16"/>
          <w:szCs w:val="16"/>
        </w:rPr>
      </w:pPr>
    </w:p>
    <w:p w:rsidR="00BC6282" w:rsidRDefault="00BC6282">
      <w:pPr>
        <w:jc w:val="both"/>
        <w:rPr>
          <w:b/>
        </w:rPr>
      </w:pPr>
    </w:p>
    <w:p w:rsidR="00BC6282" w:rsidRDefault="00BC6282">
      <w:pPr>
        <w:jc w:val="both"/>
        <w:rPr>
          <w:b/>
        </w:rPr>
      </w:pPr>
    </w:p>
    <w:p w:rsidR="00BC6282" w:rsidRDefault="00BC6282">
      <w:pPr>
        <w:jc w:val="both"/>
        <w:rPr>
          <w:b/>
        </w:rPr>
      </w:pPr>
    </w:p>
    <w:p w:rsidR="00BC6282" w:rsidRDefault="00BC6282">
      <w:pPr>
        <w:jc w:val="both"/>
        <w:rPr>
          <w:b/>
        </w:rPr>
      </w:pPr>
    </w:p>
    <w:p w:rsidR="00BC6282" w:rsidRDefault="00BC6282">
      <w:pPr>
        <w:jc w:val="both"/>
        <w:rPr>
          <w:b/>
        </w:rPr>
      </w:pPr>
    </w:p>
    <w:p w:rsidR="00BC6282" w:rsidRDefault="00BC6282">
      <w:pPr>
        <w:jc w:val="both"/>
        <w:rPr>
          <w:b/>
        </w:rPr>
      </w:pPr>
    </w:p>
    <w:p w:rsidR="00BC6282" w:rsidRDefault="00BC6282">
      <w:pPr>
        <w:jc w:val="both"/>
        <w:rPr>
          <w:b/>
        </w:rPr>
      </w:pPr>
    </w:p>
    <w:p w:rsidR="00BC6282" w:rsidRDefault="00BC6282">
      <w:pPr>
        <w:jc w:val="both"/>
        <w:rPr>
          <w:b/>
        </w:rPr>
      </w:pPr>
    </w:p>
    <w:p w:rsidR="00BC6282" w:rsidRDefault="00BC6282">
      <w:pPr>
        <w:jc w:val="both"/>
        <w:rPr>
          <w:b/>
        </w:rPr>
      </w:pPr>
    </w:p>
    <w:p w:rsidR="00BC6282" w:rsidRDefault="00BC6282">
      <w:pPr>
        <w:jc w:val="both"/>
        <w:rPr>
          <w:b/>
        </w:rPr>
      </w:pPr>
    </w:p>
    <w:p w:rsidR="00BC6282" w:rsidRDefault="00BC6282">
      <w:pPr>
        <w:jc w:val="both"/>
        <w:rPr>
          <w:b/>
        </w:rPr>
      </w:pPr>
    </w:p>
    <w:p w:rsidR="00BC6282" w:rsidRDefault="00BC6282">
      <w:pPr>
        <w:jc w:val="both"/>
        <w:rPr>
          <w:b/>
        </w:rPr>
      </w:pPr>
    </w:p>
    <w:p w:rsidR="00BC6282" w:rsidRDefault="00BC6282">
      <w:pPr>
        <w:jc w:val="both"/>
        <w:rPr>
          <w:b/>
        </w:rPr>
      </w:pPr>
    </w:p>
    <w:p w:rsidR="00BC6282" w:rsidRDefault="00BC6282">
      <w:pPr>
        <w:jc w:val="both"/>
      </w:pPr>
    </w:p>
    <w:p w:rsidR="00BC6282" w:rsidRDefault="00BC6282">
      <w:pPr>
        <w:jc w:val="both"/>
      </w:pPr>
    </w:p>
    <w:p w:rsidR="00BC6282" w:rsidRDefault="00BC6282">
      <w:pPr>
        <w:jc w:val="both"/>
      </w:pPr>
    </w:p>
    <w:p w:rsidR="00BC6282" w:rsidRDefault="00BC6282">
      <w:pPr>
        <w:jc w:val="both"/>
      </w:pPr>
    </w:p>
    <w:p w:rsidR="00BC6282" w:rsidRDefault="00BC6282">
      <w:pPr>
        <w:jc w:val="both"/>
      </w:pPr>
    </w:p>
    <w:p w:rsidR="00BC6282" w:rsidRDefault="00BC6282">
      <w:pPr>
        <w:jc w:val="both"/>
      </w:pPr>
    </w:p>
    <w:p w:rsidR="00BC6282" w:rsidRDefault="00BC6282">
      <w:pPr>
        <w:jc w:val="both"/>
      </w:pPr>
    </w:p>
    <w:p w:rsidR="00BC6282" w:rsidRDefault="00BC6282">
      <w:pPr>
        <w:jc w:val="both"/>
      </w:pPr>
    </w:p>
    <w:p w:rsidR="00BC6282" w:rsidRDefault="00BC6282">
      <w:pPr>
        <w:jc w:val="both"/>
      </w:pPr>
    </w:p>
    <w:p w:rsidR="00BC6282" w:rsidRDefault="004532DF">
      <w:pPr>
        <w:tabs>
          <w:tab w:val="left" w:pos="6720"/>
        </w:tabs>
        <w:jc w:val="both"/>
      </w:pPr>
      <w:r>
        <w:tab/>
      </w:r>
    </w:p>
    <w:p w:rsidR="00BC6282" w:rsidRDefault="00BC6282">
      <w:pPr>
        <w:widowControl/>
        <w:pBdr>
          <w:top w:val="nil"/>
          <w:left w:val="nil"/>
          <w:bottom w:val="nil"/>
          <w:right w:val="nil"/>
          <w:between w:val="nil"/>
        </w:pBdr>
        <w:jc w:val="both"/>
        <w:rPr>
          <w:color w:val="4472C4"/>
        </w:rPr>
      </w:pPr>
    </w:p>
    <w:p w:rsidR="00BC6282" w:rsidRDefault="00BC6282">
      <w:pPr>
        <w:widowControl/>
        <w:pBdr>
          <w:top w:val="nil"/>
          <w:left w:val="nil"/>
          <w:bottom w:val="nil"/>
          <w:right w:val="nil"/>
          <w:between w:val="nil"/>
        </w:pBdr>
        <w:jc w:val="both"/>
        <w:rPr>
          <w:color w:val="4472C4"/>
        </w:rPr>
      </w:pPr>
    </w:p>
    <w:p w:rsidR="00BC6282" w:rsidRDefault="00BC6282">
      <w:pPr>
        <w:widowControl/>
        <w:pBdr>
          <w:top w:val="nil"/>
          <w:left w:val="nil"/>
          <w:bottom w:val="nil"/>
          <w:right w:val="nil"/>
          <w:between w:val="nil"/>
        </w:pBdr>
        <w:jc w:val="both"/>
        <w:rPr>
          <w:color w:val="4472C4"/>
        </w:rPr>
      </w:pPr>
    </w:p>
    <w:p w:rsidR="00BC6282" w:rsidRDefault="00BC6282">
      <w:pPr>
        <w:widowControl/>
        <w:pBdr>
          <w:top w:val="nil"/>
          <w:left w:val="nil"/>
          <w:bottom w:val="nil"/>
          <w:right w:val="nil"/>
          <w:between w:val="nil"/>
        </w:pBdr>
        <w:jc w:val="both"/>
        <w:rPr>
          <w:color w:val="4472C4"/>
        </w:rPr>
      </w:pPr>
    </w:p>
    <w:p w:rsidR="00BC6282" w:rsidRDefault="00BC6282">
      <w:pPr>
        <w:widowControl/>
        <w:pBdr>
          <w:top w:val="nil"/>
          <w:left w:val="nil"/>
          <w:bottom w:val="nil"/>
          <w:right w:val="nil"/>
          <w:between w:val="nil"/>
        </w:pBdr>
        <w:jc w:val="both"/>
        <w:rPr>
          <w:color w:val="4472C4"/>
        </w:rPr>
      </w:pPr>
    </w:p>
    <w:p w:rsidR="00BC6282" w:rsidRDefault="00BC6282">
      <w:pPr>
        <w:widowControl/>
        <w:pBdr>
          <w:top w:val="nil"/>
          <w:left w:val="nil"/>
          <w:bottom w:val="nil"/>
          <w:right w:val="nil"/>
          <w:between w:val="nil"/>
        </w:pBdr>
        <w:jc w:val="both"/>
        <w:rPr>
          <w:color w:val="4472C4"/>
        </w:rPr>
      </w:pPr>
    </w:p>
    <w:p w:rsidR="00BC6282" w:rsidRDefault="004532DF">
      <w:pPr>
        <w:widowControl/>
        <w:pBdr>
          <w:top w:val="nil"/>
          <w:left w:val="nil"/>
          <w:bottom w:val="nil"/>
          <w:right w:val="nil"/>
          <w:between w:val="nil"/>
        </w:pBdr>
        <w:tabs>
          <w:tab w:val="left" w:pos="-720"/>
        </w:tabs>
        <w:ind w:right="567"/>
        <w:jc w:val="both"/>
        <w:rPr>
          <w:color w:val="000000"/>
        </w:rPr>
      </w:pPr>
      <w:r>
        <w:rPr>
          <w:color w:val="000000"/>
        </w:rPr>
        <w:tab/>
      </w:r>
    </w:p>
    <w:sectPr w:rsidR="00BC6282" w:rsidSect="001A492D">
      <w:headerReference w:type="even" r:id="rId9"/>
      <w:headerReference w:type="default" r:id="rId10"/>
      <w:headerReference w:type="first" r:id="rId11"/>
      <w:pgSz w:w="12240" w:h="15840" w:code="1"/>
      <w:pgMar w:top="1417" w:right="1701" w:bottom="1417" w:left="1701" w:header="1701" w:footer="113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2DF" w:rsidRDefault="004532DF">
      <w:r>
        <w:separator/>
      </w:r>
    </w:p>
  </w:endnote>
  <w:endnote w:type="continuationSeparator" w:id="0">
    <w:p w:rsidR="004532DF" w:rsidRDefault="0045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2DF" w:rsidRDefault="004532DF">
      <w:r>
        <w:separator/>
      </w:r>
    </w:p>
  </w:footnote>
  <w:footnote w:type="continuationSeparator" w:id="0">
    <w:p w:rsidR="004532DF" w:rsidRDefault="00453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282" w:rsidRDefault="004532DF">
    <w:pPr>
      <w:widowControl/>
      <w:pBdr>
        <w:top w:val="nil"/>
        <w:left w:val="nil"/>
        <w:bottom w:val="nil"/>
        <w:right w:val="nil"/>
        <w:between w:val="nil"/>
      </w:pBdr>
      <w:tabs>
        <w:tab w:val="center" w:pos="4252"/>
        <w:tab w:val="right" w:pos="8504"/>
      </w:tabs>
      <w:rPr>
        <w:rFonts w:ascii="Calibri" w:eastAsia="Calibri" w:hAnsi="Calibri" w:cs="Calibri"/>
        <w:color w:val="000000"/>
      </w:rPr>
    </w:pPr>
    <w:r>
      <w:rPr>
        <w:rFonts w:ascii="Calibri" w:eastAsia="Calibri" w:hAnsi="Calibri" w:cs="Calibri"/>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9.55pt;height:1022.9pt;z-index:-251657216;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282" w:rsidRDefault="001A492D">
    <w:pPr>
      <w:widowControl/>
      <w:pBdr>
        <w:top w:val="nil"/>
        <w:left w:val="nil"/>
        <w:bottom w:val="nil"/>
        <w:right w:val="nil"/>
        <w:between w:val="nil"/>
      </w:pBdr>
      <w:tabs>
        <w:tab w:val="center" w:pos="4252"/>
        <w:tab w:val="right" w:pos="8504"/>
      </w:tabs>
      <w:jc w:val="right"/>
      <w:rPr>
        <w:color w:val="000000"/>
        <w:sz w:val="20"/>
        <w:szCs w:val="20"/>
      </w:rPr>
    </w:pPr>
    <w:r>
      <w:rPr>
        <w:noProof/>
      </w:rPr>
      <w:pict w14:anchorId="0D5F8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left:0;text-align:left;margin-left:-92.5pt;margin-top:-264.3pt;width:627.1pt;height:935.75pt;z-index:-251656192;mso-position-horizontal-relative:margin;mso-position-vertical-relative:margin">
          <v:imagedata r:id="rId1" o:title="image1" croptop="5585f" cropleft="-798f"/>
          <w10:wrap anchorx="margin" anchory="margin"/>
        </v:shape>
      </w:pict>
    </w:r>
    <w:r w:rsidR="004532DF">
      <w:rPr>
        <w:noProof/>
      </w:rPr>
      <w:drawing>
        <wp:anchor distT="0" distB="0" distL="0" distR="0" simplePos="0" relativeHeight="251656192" behindDoc="1" locked="0" layoutInCell="1" hidden="0" allowOverlap="1">
          <wp:simplePos x="0" y="0"/>
          <wp:positionH relativeFrom="column">
            <wp:posOffset>-927734</wp:posOffset>
          </wp:positionH>
          <wp:positionV relativeFrom="paragraph">
            <wp:posOffset>-92074</wp:posOffset>
          </wp:positionV>
          <wp:extent cx="2719137" cy="607413"/>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19137" cy="607413"/>
                  </a:xfrm>
                  <a:prstGeom prst="rect">
                    <a:avLst/>
                  </a:prstGeom>
                  <a:ln/>
                </pic:spPr>
              </pic:pic>
            </a:graphicData>
          </a:graphic>
        </wp:anchor>
      </w:drawing>
    </w:r>
  </w:p>
  <w:p w:rsidR="00BC6282" w:rsidRDefault="00BC6282">
    <w:pPr>
      <w:widowControl/>
      <w:pBdr>
        <w:top w:val="nil"/>
        <w:left w:val="nil"/>
        <w:bottom w:val="nil"/>
        <w:right w:val="nil"/>
        <w:between w:val="nil"/>
      </w:pBdr>
      <w:tabs>
        <w:tab w:val="center" w:pos="4252"/>
        <w:tab w:val="right" w:pos="8504"/>
      </w:tabs>
      <w:rPr>
        <w:rFonts w:ascii="Calibri" w:eastAsia="Calibri" w:hAnsi="Calibri" w:cs="Calibri"/>
        <w:color w:val="000000"/>
      </w:rPr>
    </w:pPr>
  </w:p>
  <w:p w:rsidR="00BC6282" w:rsidRDefault="004532DF">
    <w:pPr>
      <w:widowControl/>
      <w:pBdr>
        <w:top w:val="nil"/>
        <w:left w:val="nil"/>
        <w:bottom w:val="nil"/>
        <w:right w:val="nil"/>
        <w:between w:val="nil"/>
      </w:pBdr>
      <w:tabs>
        <w:tab w:val="center" w:pos="4252"/>
        <w:tab w:val="right" w:pos="8504"/>
      </w:tabs>
      <w:jc w:val="right"/>
      <w:rPr>
        <w:rFonts w:ascii="Calibri" w:eastAsia="Calibri" w:hAnsi="Calibri" w:cs="Calibri"/>
        <w:color w:val="000000"/>
      </w:rPr>
    </w:pPr>
    <w:r>
      <w:rPr>
        <w:color w:val="000000"/>
        <w:sz w:val="20"/>
        <w:szCs w:val="20"/>
      </w:rPr>
      <w:t xml:space="preserve">Página </w:t>
    </w:r>
    <w:r>
      <w:rPr>
        <w:color w:val="000000"/>
        <w:sz w:val="20"/>
        <w:szCs w:val="20"/>
      </w:rPr>
      <w:fldChar w:fldCharType="begin"/>
    </w:r>
    <w:r>
      <w:rPr>
        <w:color w:val="000000"/>
        <w:sz w:val="20"/>
        <w:szCs w:val="20"/>
      </w:rPr>
      <w:instrText>PAGE</w:instrText>
    </w:r>
    <w:r w:rsidR="001A492D">
      <w:rPr>
        <w:color w:val="000000"/>
        <w:sz w:val="20"/>
        <w:szCs w:val="20"/>
      </w:rPr>
      <w:fldChar w:fldCharType="separate"/>
    </w:r>
    <w:r w:rsidR="00D973CD">
      <w:rPr>
        <w:noProof/>
        <w:color w:val="000000"/>
        <w:sz w:val="20"/>
        <w:szCs w:val="20"/>
      </w:rPr>
      <w:t>1</w:t>
    </w:r>
    <w:r>
      <w:rPr>
        <w:color w:val="000000"/>
        <w:sz w:val="20"/>
        <w:szCs w:val="20"/>
      </w:rPr>
      <w:fldChar w:fldCharType="end"/>
    </w:r>
    <w:r>
      <w:rPr>
        <w:color w:val="000000"/>
        <w:sz w:val="20"/>
        <w:szCs w:val="20"/>
      </w:rPr>
      <w:t xml:space="preserve"> de </w:t>
    </w:r>
    <w:r>
      <w:rPr>
        <w:color w:val="000000"/>
        <w:sz w:val="20"/>
        <w:szCs w:val="20"/>
      </w:rPr>
      <w:fldChar w:fldCharType="begin"/>
    </w:r>
    <w:r>
      <w:rPr>
        <w:color w:val="000000"/>
        <w:sz w:val="20"/>
        <w:szCs w:val="20"/>
      </w:rPr>
      <w:instrText>NUMPAGES</w:instrText>
    </w:r>
    <w:r w:rsidR="001A492D">
      <w:rPr>
        <w:color w:val="000000"/>
        <w:sz w:val="20"/>
        <w:szCs w:val="20"/>
      </w:rPr>
      <w:fldChar w:fldCharType="separate"/>
    </w:r>
    <w:r w:rsidR="00D973CD">
      <w:rPr>
        <w:noProof/>
        <w:color w:val="000000"/>
        <w:sz w:val="20"/>
        <w:szCs w:val="20"/>
      </w:rPr>
      <w:t>9</w:t>
    </w:r>
    <w:r>
      <w:rPr>
        <w:color w:val="000000"/>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282" w:rsidRDefault="004532DF">
    <w:pPr>
      <w:widowControl/>
      <w:pBdr>
        <w:top w:val="nil"/>
        <w:left w:val="nil"/>
        <w:bottom w:val="nil"/>
        <w:right w:val="nil"/>
        <w:between w:val="nil"/>
      </w:pBdr>
      <w:tabs>
        <w:tab w:val="center" w:pos="4252"/>
        <w:tab w:val="right" w:pos="8504"/>
      </w:tabs>
      <w:rPr>
        <w:rFonts w:ascii="Calibri" w:eastAsia="Calibri" w:hAnsi="Calibri" w:cs="Calibri"/>
        <w:color w:val="000000"/>
      </w:rPr>
    </w:pPr>
    <w:r>
      <w:rPr>
        <w:rFonts w:ascii="Calibri" w:eastAsia="Calibri" w:hAnsi="Calibri" w:cs="Calibri"/>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19.55pt;height:1022.9pt;z-index:-251658240;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6AEB"/>
    <w:multiLevelType w:val="multilevel"/>
    <w:tmpl w:val="1A046B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0B87BA3"/>
    <w:multiLevelType w:val="multilevel"/>
    <w:tmpl w:val="FAB6B246"/>
    <w:lvl w:ilvl="0">
      <w:start w:val="1"/>
      <w:numFmt w:val="bullet"/>
      <w:lvlText w:val="✔"/>
      <w:lvlJc w:val="left"/>
      <w:pPr>
        <w:ind w:left="1485" w:hanging="360"/>
      </w:pPr>
      <w:rPr>
        <w:rFonts w:ascii="Noto Sans Symbols" w:eastAsia="Noto Sans Symbols" w:hAnsi="Noto Sans Symbols" w:cs="Noto Sans Symbols"/>
      </w:rPr>
    </w:lvl>
    <w:lvl w:ilvl="1">
      <w:start w:val="5"/>
      <w:numFmt w:val="bullet"/>
      <w:lvlText w:val="•"/>
      <w:lvlJc w:val="left"/>
      <w:pPr>
        <w:ind w:left="2205" w:hanging="360"/>
      </w:pPr>
      <w:rPr>
        <w:rFonts w:ascii="Verdana" w:eastAsia="Verdana" w:hAnsi="Verdana" w:cs="Verdana"/>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2">
    <w:nsid w:val="223748B2"/>
    <w:multiLevelType w:val="multilevel"/>
    <w:tmpl w:val="527E4406"/>
    <w:lvl w:ilvl="0">
      <w:start w:val="1"/>
      <w:numFmt w:val="decimal"/>
      <w:lvlText w:val="%1."/>
      <w:lvlJc w:val="left"/>
      <w:pPr>
        <w:ind w:left="720" w:hanging="360"/>
      </w:pPr>
    </w:lvl>
    <w:lvl w:ilvl="1">
      <w:start w:val="1"/>
      <w:numFmt w:val="decimal"/>
      <w:lvlText w:val="%1.%2"/>
      <w:lvlJc w:val="left"/>
      <w:pPr>
        <w:ind w:left="1080" w:hanging="720"/>
      </w:pPr>
      <w:rPr>
        <w:rFonts w:ascii="Calibri" w:eastAsia="Calibri" w:hAnsi="Calibri" w:cs="Calibri"/>
        <w:color w:val="2F5496"/>
        <w:sz w:val="32"/>
        <w:szCs w:val="32"/>
      </w:rPr>
    </w:lvl>
    <w:lvl w:ilvl="2">
      <w:start w:val="1"/>
      <w:numFmt w:val="decimal"/>
      <w:lvlText w:val="%1.%2.%3"/>
      <w:lvlJc w:val="left"/>
      <w:pPr>
        <w:ind w:left="1440" w:hanging="1080"/>
      </w:pPr>
      <w:rPr>
        <w:rFonts w:ascii="Calibri" w:eastAsia="Calibri" w:hAnsi="Calibri" w:cs="Calibri"/>
        <w:color w:val="2F5496"/>
        <w:sz w:val="32"/>
        <w:szCs w:val="32"/>
      </w:rPr>
    </w:lvl>
    <w:lvl w:ilvl="3">
      <w:start w:val="1"/>
      <w:numFmt w:val="decimal"/>
      <w:lvlText w:val="%1.%2.%3.%4"/>
      <w:lvlJc w:val="left"/>
      <w:pPr>
        <w:ind w:left="1440" w:hanging="1080"/>
      </w:pPr>
      <w:rPr>
        <w:rFonts w:ascii="Calibri" w:eastAsia="Calibri" w:hAnsi="Calibri" w:cs="Calibri"/>
        <w:color w:val="2F5496"/>
        <w:sz w:val="32"/>
        <w:szCs w:val="32"/>
      </w:rPr>
    </w:lvl>
    <w:lvl w:ilvl="4">
      <w:start w:val="1"/>
      <w:numFmt w:val="decimal"/>
      <w:lvlText w:val="%1.%2.%3.%4.%5"/>
      <w:lvlJc w:val="left"/>
      <w:pPr>
        <w:ind w:left="1800" w:hanging="1440"/>
      </w:pPr>
      <w:rPr>
        <w:rFonts w:ascii="Calibri" w:eastAsia="Calibri" w:hAnsi="Calibri" w:cs="Calibri"/>
        <w:color w:val="2F5496"/>
        <w:sz w:val="32"/>
        <w:szCs w:val="32"/>
      </w:rPr>
    </w:lvl>
    <w:lvl w:ilvl="5">
      <w:start w:val="1"/>
      <w:numFmt w:val="decimal"/>
      <w:lvlText w:val="%1.%2.%3.%4.%5.%6"/>
      <w:lvlJc w:val="left"/>
      <w:pPr>
        <w:ind w:left="2160" w:hanging="1800"/>
      </w:pPr>
      <w:rPr>
        <w:rFonts w:ascii="Calibri" w:eastAsia="Calibri" w:hAnsi="Calibri" w:cs="Calibri"/>
        <w:color w:val="2F5496"/>
        <w:sz w:val="32"/>
        <w:szCs w:val="32"/>
      </w:rPr>
    </w:lvl>
    <w:lvl w:ilvl="6">
      <w:start w:val="1"/>
      <w:numFmt w:val="decimal"/>
      <w:lvlText w:val="%1.%2.%3.%4.%5.%6.%7"/>
      <w:lvlJc w:val="left"/>
      <w:pPr>
        <w:ind w:left="2520" w:hanging="2160"/>
      </w:pPr>
      <w:rPr>
        <w:rFonts w:ascii="Calibri" w:eastAsia="Calibri" w:hAnsi="Calibri" w:cs="Calibri"/>
        <w:color w:val="2F5496"/>
        <w:sz w:val="32"/>
        <w:szCs w:val="32"/>
      </w:rPr>
    </w:lvl>
    <w:lvl w:ilvl="7">
      <w:start w:val="1"/>
      <w:numFmt w:val="decimal"/>
      <w:lvlText w:val="%1.%2.%3.%4.%5.%6.%7.%8"/>
      <w:lvlJc w:val="left"/>
      <w:pPr>
        <w:ind w:left="2520" w:hanging="2160"/>
      </w:pPr>
      <w:rPr>
        <w:rFonts w:ascii="Calibri" w:eastAsia="Calibri" w:hAnsi="Calibri" w:cs="Calibri"/>
        <w:color w:val="2F5496"/>
        <w:sz w:val="32"/>
        <w:szCs w:val="32"/>
      </w:rPr>
    </w:lvl>
    <w:lvl w:ilvl="8">
      <w:start w:val="1"/>
      <w:numFmt w:val="decimal"/>
      <w:lvlText w:val="%1.%2.%3.%4.%5.%6.%7.%8.%9"/>
      <w:lvlJc w:val="left"/>
      <w:pPr>
        <w:ind w:left="2880" w:hanging="2520"/>
      </w:pPr>
      <w:rPr>
        <w:rFonts w:ascii="Calibri" w:eastAsia="Calibri" w:hAnsi="Calibri" w:cs="Calibri"/>
        <w:color w:val="2F5496"/>
        <w:sz w:val="32"/>
        <w:szCs w:val="32"/>
      </w:rPr>
    </w:lvl>
  </w:abstractNum>
  <w:abstractNum w:abstractNumId="3">
    <w:nsid w:val="432C350B"/>
    <w:multiLevelType w:val="multilevel"/>
    <w:tmpl w:val="42E6C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A2408CE"/>
    <w:multiLevelType w:val="multilevel"/>
    <w:tmpl w:val="ECE6B11E"/>
    <w:lvl w:ilvl="0">
      <w:start w:val="1"/>
      <w:numFmt w:val="decimal"/>
      <w:lvlText w:val="%1."/>
      <w:lvlJc w:val="left"/>
      <w:pPr>
        <w:ind w:left="720" w:hanging="360"/>
      </w:pPr>
      <w:rPr>
        <w:rFonts w:ascii="Verdana" w:eastAsia="Verdana" w:hAnsi="Verdana" w:cs="Verdana"/>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82"/>
    <w:rsid w:val="001A492D"/>
    <w:rsid w:val="004532DF"/>
    <w:rsid w:val="00BC6282"/>
    <w:rsid w:val="00D973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5177EFE-83C6-42EA-9236-B870CD1F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FF"/>
    <w:pPr>
      <w:suppressAutoHyphens/>
      <w:autoSpaceDN w:val="0"/>
      <w:textAlignment w:val="baseline"/>
    </w:pPr>
  </w:style>
  <w:style w:type="paragraph" w:styleId="Ttulo1">
    <w:name w:val="heading 1"/>
    <w:basedOn w:val="Normal"/>
    <w:next w:val="Normal"/>
    <w:link w:val="Ttulo1Car"/>
    <w:uiPriority w:val="9"/>
    <w:qFormat/>
    <w:rsid w:val="00375E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019FF"/>
    <w:pPr>
      <w:widowControl/>
      <w:tabs>
        <w:tab w:val="center" w:pos="4252"/>
        <w:tab w:val="right" w:pos="8504"/>
      </w:tabs>
      <w:suppressAutoHyphens w:val="0"/>
      <w:autoSpaceDN/>
      <w:textAlignment w:val="auto"/>
    </w:pPr>
    <w:rPr>
      <w:rFonts w:asciiTheme="minorHAnsi" w:hAnsiTheme="minorHAnsi" w:cstheme="minorBidi"/>
      <w:szCs w:val="24"/>
    </w:rPr>
  </w:style>
  <w:style w:type="character" w:customStyle="1" w:styleId="EncabezadoCar">
    <w:name w:val="Encabezado Car"/>
    <w:basedOn w:val="Fuentedeprrafopredeter"/>
    <w:link w:val="Encabezado"/>
    <w:uiPriority w:val="99"/>
    <w:rsid w:val="002019FF"/>
  </w:style>
  <w:style w:type="paragraph" w:styleId="Piedepgina">
    <w:name w:val="footer"/>
    <w:basedOn w:val="Normal"/>
    <w:link w:val="PiedepginaCar"/>
    <w:uiPriority w:val="99"/>
    <w:unhideWhenUsed/>
    <w:rsid w:val="002019FF"/>
    <w:pPr>
      <w:widowControl/>
      <w:tabs>
        <w:tab w:val="center" w:pos="4252"/>
        <w:tab w:val="right" w:pos="8504"/>
      </w:tabs>
      <w:suppressAutoHyphens w:val="0"/>
      <w:autoSpaceDN/>
      <w:textAlignment w:val="auto"/>
    </w:pPr>
    <w:rPr>
      <w:rFonts w:asciiTheme="minorHAnsi" w:hAnsiTheme="minorHAnsi" w:cstheme="minorBidi"/>
      <w:szCs w:val="24"/>
    </w:rPr>
  </w:style>
  <w:style w:type="character" w:customStyle="1" w:styleId="PiedepginaCar">
    <w:name w:val="Pie de página Car"/>
    <w:basedOn w:val="Fuentedeprrafopredeter"/>
    <w:link w:val="Piedepgina"/>
    <w:uiPriority w:val="99"/>
    <w:rsid w:val="002019FF"/>
  </w:style>
  <w:style w:type="character" w:customStyle="1" w:styleId="Fuentedeprrafopredeter1">
    <w:name w:val="Fuente de párrafo predeter.1"/>
    <w:rsid w:val="002019FF"/>
  </w:style>
  <w:style w:type="paragraph" w:customStyle="1" w:styleId="Standard">
    <w:name w:val="Standard"/>
    <w:rsid w:val="002019FF"/>
    <w:pPr>
      <w:suppressAutoHyphens/>
      <w:autoSpaceDN w:val="0"/>
      <w:textAlignment w:val="baseline"/>
    </w:pPr>
    <w:rPr>
      <w:rFonts w:ascii="Times New Roman" w:eastAsia="Times New Roman" w:hAnsi="Times New Roman"/>
      <w:lang w:eastAsia="es-ES"/>
    </w:rPr>
  </w:style>
  <w:style w:type="paragraph" w:customStyle="1" w:styleId="Encabezado1">
    <w:name w:val="Encabezado1"/>
    <w:basedOn w:val="Standard"/>
    <w:rsid w:val="002019FF"/>
    <w:pPr>
      <w:tabs>
        <w:tab w:val="center" w:pos="4252"/>
        <w:tab w:val="right" w:pos="8504"/>
      </w:tabs>
    </w:pPr>
  </w:style>
  <w:style w:type="paragraph" w:customStyle="1" w:styleId="WW-Contenidodelatabla">
    <w:name w:val="WW-Contenido de la tabla"/>
    <w:basedOn w:val="Normal"/>
    <w:rsid w:val="002019FF"/>
    <w:pPr>
      <w:suppressLineNumbers/>
      <w:spacing w:after="120"/>
    </w:pPr>
    <w:rPr>
      <w:rFonts w:eastAsia="Arial Unicode MS"/>
      <w:szCs w:val="24"/>
      <w:lang w:val="es" w:eastAsia="ar-SA"/>
    </w:rPr>
  </w:style>
  <w:style w:type="paragraph" w:styleId="Sinespaciado">
    <w:name w:val="No Spacing"/>
    <w:qFormat/>
    <w:rsid w:val="00E82760"/>
  </w:style>
  <w:style w:type="paragraph" w:styleId="Prrafodelista">
    <w:name w:val="List Paragraph"/>
    <w:basedOn w:val="Normal"/>
    <w:qFormat/>
    <w:rsid w:val="00E854BC"/>
    <w:pPr>
      <w:widowControl/>
      <w:suppressAutoHyphens w:val="0"/>
      <w:autoSpaceDN/>
      <w:ind w:left="720"/>
      <w:contextualSpacing/>
      <w:textAlignment w:val="auto"/>
    </w:pPr>
    <w:rPr>
      <w:rFonts w:asciiTheme="minorHAnsi" w:hAnsiTheme="minorHAnsi" w:cstheme="minorBidi"/>
    </w:rPr>
  </w:style>
  <w:style w:type="paragraph" w:styleId="Textoindependiente">
    <w:name w:val="Body Text"/>
    <w:basedOn w:val="Normal"/>
    <w:link w:val="TextoindependienteCar"/>
    <w:uiPriority w:val="1"/>
    <w:qFormat/>
    <w:rsid w:val="00E854BC"/>
    <w:pPr>
      <w:suppressAutoHyphens w:val="0"/>
      <w:autoSpaceDE w:val="0"/>
      <w:textAlignment w:val="auto"/>
    </w:pPr>
    <w:rPr>
      <w:lang w:val="es-ES" w:eastAsia="es-ES" w:bidi="es-ES"/>
    </w:rPr>
  </w:style>
  <w:style w:type="character" w:customStyle="1" w:styleId="TextoindependienteCar">
    <w:name w:val="Texto independiente Car"/>
    <w:basedOn w:val="Fuentedeprrafopredeter"/>
    <w:link w:val="Textoindependiente"/>
    <w:uiPriority w:val="1"/>
    <w:rsid w:val="00E854BC"/>
    <w:rPr>
      <w:rFonts w:ascii="Verdana" w:eastAsia="Verdana" w:hAnsi="Verdana" w:cs="Verdana"/>
      <w:sz w:val="22"/>
      <w:szCs w:val="22"/>
      <w:lang w:val="es-ES" w:eastAsia="es-ES" w:bidi="es-ES"/>
    </w:rPr>
  </w:style>
  <w:style w:type="paragraph" w:customStyle="1" w:styleId="Default">
    <w:name w:val="Default"/>
    <w:rsid w:val="00E854BC"/>
    <w:pPr>
      <w:autoSpaceDE w:val="0"/>
      <w:autoSpaceDN w:val="0"/>
      <w:adjustRightInd w:val="0"/>
    </w:pPr>
    <w:rPr>
      <w:rFonts w:ascii="Arial" w:eastAsia="Calibri" w:hAnsi="Arial" w:cs="Arial"/>
      <w:color w:val="000000"/>
      <w:lang w:val="es-MX"/>
    </w:rPr>
  </w:style>
  <w:style w:type="paragraph" w:customStyle="1" w:styleId="CM6">
    <w:name w:val="CM6"/>
    <w:basedOn w:val="Default"/>
    <w:next w:val="Default"/>
    <w:uiPriority w:val="99"/>
    <w:rsid w:val="00E854BC"/>
    <w:pPr>
      <w:spacing w:line="278" w:lineRule="atLeast"/>
    </w:pPr>
    <w:rPr>
      <w:rFonts w:eastAsiaTheme="minorHAnsi"/>
      <w:color w:val="auto"/>
      <w:lang w:val="es-CO"/>
    </w:rPr>
  </w:style>
  <w:style w:type="character" w:customStyle="1" w:styleId="Ttulo1Car">
    <w:name w:val="Título 1 Car"/>
    <w:basedOn w:val="Fuentedeprrafopredeter"/>
    <w:link w:val="Ttulo1"/>
    <w:uiPriority w:val="9"/>
    <w:rsid w:val="00375EF7"/>
    <w:rPr>
      <w:rFonts w:asciiTheme="majorHAnsi" w:eastAsiaTheme="majorEastAsia" w:hAnsiTheme="majorHAnsi" w:cstheme="majorBidi"/>
      <w:color w:val="2F5496" w:themeColor="accent1" w:themeShade="BF"/>
      <w:sz w:val="32"/>
      <w:szCs w:val="32"/>
      <w:lang w:val="en-US" w:eastAsia="ja-JP"/>
    </w:rPr>
  </w:style>
  <w:style w:type="paragraph" w:styleId="TtulodeTDC">
    <w:name w:val="TOC Heading"/>
    <w:basedOn w:val="Ttulo1"/>
    <w:next w:val="Normal"/>
    <w:uiPriority w:val="39"/>
    <w:unhideWhenUsed/>
    <w:qFormat/>
    <w:rsid w:val="00375EF7"/>
    <w:pPr>
      <w:widowControl/>
      <w:suppressAutoHyphens w:val="0"/>
      <w:autoSpaceDN/>
      <w:spacing w:line="259" w:lineRule="auto"/>
      <w:textAlignment w:val="auto"/>
      <w:outlineLvl w:val="9"/>
    </w:pPr>
  </w:style>
  <w:style w:type="paragraph" w:styleId="TDC1">
    <w:name w:val="toc 1"/>
    <w:basedOn w:val="Normal"/>
    <w:next w:val="Normal"/>
    <w:autoRedefine/>
    <w:uiPriority w:val="39"/>
    <w:unhideWhenUsed/>
    <w:rsid w:val="00375EF7"/>
    <w:pPr>
      <w:spacing w:after="100"/>
    </w:pPr>
  </w:style>
  <w:style w:type="character" w:styleId="Hipervnculo">
    <w:name w:val="Hyperlink"/>
    <w:basedOn w:val="Fuentedeprrafopredeter"/>
    <w:uiPriority w:val="99"/>
    <w:unhideWhenUsed/>
    <w:rsid w:val="00375EF7"/>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TFfM+Sptz1uQtt+OYfK+LDq/Gg==">AMUW2mXGrdTyhuf4EV8hMMKl6gEdXX3/xAdnl+pB+zqFzwgYVTXfesKFiAvxuFoFi3G5inOzawkuiNuy87OUxnwLQQg/C3iBUWEE0WSp3gtZbzpEhgm4Rf7BjO2G0QtnPnyn69g4RKQ47LP34xxRtH4oY6Q02hsV1lmmNpAZKL0Ln3A4bXra7vs8cXSpxakHvDfeSyyHeUTOyXLubzJ3yRv5mIdBoyYMh5pcpqbhlCi4RBXa96Vjq7jZK1o7Cxvfx2S5MJrWH9HSQ/QqlLceCw3Xm1rfkFxW/11HEYML0BTMyuiezLP7Cj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9AF88D-FBAB-449D-A8C9-CF256CD4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2100</Words>
  <Characters>11550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johaaga55@gmail.com</dc:creator>
  <cp:lastModifiedBy>magda yusef rojas diaz</cp:lastModifiedBy>
  <cp:revision>2</cp:revision>
  <dcterms:created xsi:type="dcterms:W3CDTF">2022-12-01T04:59:00Z</dcterms:created>
  <dcterms:modified xsi:type="dcterms:W3CDTF">2022-12-26T21:42:00Z</dcterms:modified>
</cp:coreProperties>
</file>